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B647" w14:textId="77777777" w:rsidR="00D15B62" w:rsidRDefault="00D15B62" w:rsidP="00D15B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708FCB" w14:textId="77777777" w:rsidR="00D15B62" w:rsidRDefault="00D15B62" w:rsidP="00D15B62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B507BEE" wp14:editId="19AF3DB8">
            <wp:extent cx="873760" cy="62020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3BF5" w14:textId="77777777" w:rsidR="00D15B62" w:rsidRDefault="00D15B62" w:rsidP="00D15B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488DFE58" w14:textId="77777777" w:rsidR="00D15B62" w:rsidRDefault="00D15B62" w:rsidP="00D15B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0A6355BB" w14:textId="77777777" w:rsidR="00D15B62" w:rsidRPr="00970911" w:rsidRDefault="00D15B62" w:rsidP="00D15B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1FDC9FA8" w14:textId="4944D9E2" w:rsidR="00D15B62" w:rsidRPr="00970911" w:rsidRDefault="00D15B62" w:rsidP="00D15B62">
      <w:pPr>
        <w:tabs>
          <w:tab w:val="left" w:pos="495"/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93105F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93105F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93105F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93105F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19.0</w:t>
      </w:r>
      <w:r w:rsidR="008E6EA8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105F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proofErr w:type="gramEnd"/>
      <w:r w:rsidRPr="0093105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5B62" w:rsidRPr="001C55CD" w14:paraId="0F2C6120" w14:textId="77777777" w:rsidTr="006425D0">
        <w:trPr>
          <w:trHeight w:val="1286"/>
        </w:trPr>
        <w:tc>
          <w:tcPr>
            <w:tcW w:w="9576" w:type="dxa"/>
            <w:shd w:val="clear" w:color="auto" w:fill="FFFF00"/>
          </w:tcPr>
          <w:p w14:paraId="6DE5B6C3" w14:textId="77777777" w:rsidR="00D15B62" w:rsidRPr="001C55CD" w:rsidRDefault="00D15B62" w:rsidP="006425D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20A142AA" w14:textId="77777777" w:rsidR="00D15B62" w:rsidRPr="001C55CD" w:rsidRDefault="00D15B62" w:rsidP="006425D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658735EB" w14:textId="77777777" w:rsidR="00D15B62" w:rsidRPr="001C55CD" w:rsidRDefault="00D15B62" w:rsidP="006425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3496B98E" w14:textId="77777777" w:rsidR="00D15B62" w:rsidRDefault="00D15B62" w:rsidP="00D15B62">
      <w:pPr>
        <w:spacing w:after="0"/>
        <w:rPr>
          <w:rFonts w:ascii="Times New Roman" w:hAnsi="Times New Roman"/>
          <w:b/>
          <w:sz w:val="28"/>
        </w:rPr>
      </w:pPr>
    </w:p>
    <w:p w14:paraId="15594784" w14:textId="12A5B27B" w:rsidR="00D15B62" w:rsidRPr="00A25A02" w:rsidRDefault="00D15B62" w:rsidP="00D15B62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 </w:t>
      </w:r>
      <w:r w:rsidR="008E6EA8">
        <w:rPr>
          <w:rFonts w:ascii="Times New Roman" w:hAnsi="Times New Roman"/>
          <w:b/>
          <w:sz w:val="24"/>
          <w:szCs w:val="24"/>
          <w:lang w:val="it-IT"/>
        </w:rPr>
        <w:t>Juridike (Drejtësi)”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 niveli minimal i diplomës “Bachelor” </w:t>
      </w:r>
    </w:p>
    <w:p w14:paraId="1D195F02" w14:textId="77777777" w:rsidR="00D15B62" w:rsidRPr="004B095D" w:rsidRDefault="00D15B62" w:rsidP="00D15B62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715E9136" w14:textId="406A66D4" w:rsidR="00D15B62" w:rsidRDefault="00D15B62" w:rsidP="00D15B62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</w:t>
      </w:r>
      <w:r w:rsidR="008E6EA8">
        <w:rPr>
          <w:rFonts w:ascii="Times New Roman" w:hAnsi="Times New Roman"/>
          <w:i/>
          <w:sz w:val="24"/>
          <w:szCs w:val="24"/>
          <w:lang w:val="it-IT"/>
        </w:rPr>
        <w:t>ësi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>shpall procedur</w:t>
      </w:r>
      <w:r w:rsidR="004C4AAF">
        <w:rPr>
          <w:rFonts w:ascii="Times New Roman" w:hAnsi="Times New Roman"/>
          <w:sz w:val="24"/>
          <w:szCs w:val="24"/>
          <w:lang w:val="it-IT"/>
        </w:rPr>
        <w:t>ë</w:t>
      </w:r>
      <w:r w:rsidR="00583B10">
        <w:rPr>
          <w:rFonts w:ascii="Times New Roman" w:hAnsi="Times New Roman"/>
          <w:sz w:val="24"/>
          <w:szCs w:val="24"/>
          <w:lang w:val="it-IT"/>
        </w:rPr>
        <w:t xml:space="preserve">n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e lëvizjes paralele dhe pranimit në shërbimin civil për pozicionet: </w:t>
      </w:r>
    </w:p>
    <w:p w14:paraId="2FF74422" w14:textId="77777777" w:rsidR="00583B10" w:rsidRPr="00443E00" w:rsidRDefault="00583B10" w:rsidP="00D15B62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3F5BB61" w14:textId="7FEC6964" w:rsidR="00D15B62" w:rsidRDefault="00D15B62" w:rsidP="00D15B62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1 </w:t>
      </w:r>
      <w:r w:rsidR="00CD582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(një)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pozicion 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Specialist Jurist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pran</w:t>
      </w:r>
      <w:r w:rsidR="00CD582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 w:rsidR="00583B10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Drejtorisë së Projekteve dhe Investimeve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.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p w14:paraId="70D35143" w14:textId="77777777" w:rsidR="00EB7299" w:rsidRPr="007B6C8E" w:rsidRDefault="00EB7299" w:rsidP="00D15B62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D15B62" w:rsidRPr="00A77F8B" w14:paraId="5B8B140B" w14:textId="77777777" w:rsidTr="00EB7299">
        <w:trPr>
          <w:trHeight w:val="1593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224E55" w14:textId="2BE32956" w:rsidR="00D15B62" w:rsidRPr="007239EC" w:rsidRDefault="00D15B62" w:rsidP="006425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 të së njëjtës kategori për procedurën e lëvizjes paralele!</w:t>
            </w:r>
          </w:p>
          <w:p w14:paraId="6023E167" w14:textId="77777777" w:rsidR="00D15B62" w:rsidRPr="000F1A92" w:rsidRDefault="00D15B62" w:rsidP="006425D0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018CCBDB" w14:textId="77777777" w:rsidR="00D15B62" w:rsidRPr="000F1A92" w:rsidRDefault="00D15B62" w:rsidP="00D15B62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D15B62" w14:paraId="43BE8B14" w14:textId="77777777" w:rsidTr="006425D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1754C94" w14:textId="77777777" w:rsidR="00D15B62" w:rsidRDefault="00D15B62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5C079033" w14:textId="77777777" w:rsidR="00D15B62" w:rsidRPr="00942C2E" w:rsidRDefault="00D15B62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33CFFB" w14:textId="5638F81F" w:rsidR="00D15B62" w:rsidRDefault="004E4C6D" w:rsidP="006425D0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03</w:t>
            </w:r>
            <w:r w:rsidR="00D15B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 w:rsidR="00D15B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D15B62" w14:paraId="47AA1433" w14:textId="77777777" w:rsidTr="006425D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EA4F42" w14:textId="77777777" w:rsidR="00D15B62" w:rsidRDefault="00D15B62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5AEFA4BD" w14:textId="77777777" w:rsidR="00D15B62" w:rsidRPr="00942C2E" w:rsidRDefault="00D15B62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8FD9FA" w14:textId="4D5EE88C" w:rsidR="00D15B62" w:rsidRDefault="004E4C6D" w:rsidP="006425D0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16</w:t>
            </w:r>
            <w:r w:rsidR="00D15B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 w:rsidR="00D15B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</w:tbl>
    <w:p w14:paraId="62D5D433" w14:textId="77777777" w:rsidR="00D15B62" w:rsidRDefault="00D15B62" w:rsidP="00D15B62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D15B62" w:rsidRPr="00A77F8B" w14:paraId="1FC200A9" w14:textId="77777777" w:rsidTr="006425D0">
        <w:tc>
          <w:tcPr>
            <w:tcW w:w="9855" w:type="dxa"/>
            <w:shd w:val="clear" w:color="auto" w:fill="C00000"/>
            <w:hideMark/>
          </w:tcPr>
          <w:p w14:paraId="403A830B" w14:textId="77777777" w:rsidR="00D15B62" w:rsidRPr="002238CD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70A007B1" w14:textId="77777777" w:rsidR="00D15B62" w:rsidRDefault="00D15B62" w:rsidP="00D15B62">
      <w:pPr>
        <w:spacing w:after="0" w:line="240" w:lineRule="auto"/>
        <w:ind w:left="720"/>
        <w:jc w:val="both"/>
        <w:rPr>
          <w:lang w:val="sq-AL"/>
        </w:rPr>
      </w:pPr>
    </w:p>
    <w:p w14:paraId="3B00338C" w14:textId="77777777" w:rsidR="00CE047D" w:rsidRPr="001010AE" w:rsidRDefault="00CE047D" w:rsidP="00CE047D">
      <w:pPr>
        <w:suppressAutoHyphens/>
        <w:spacing w:after="0"/>
        <w:ind w:left="540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11C654F5" w14:textId="77777777" w:rsidR="00CE047D" w:rsidRPr="001010AE" w:rsidRDefault="00CE047D" w:rsidP="00CE047D">
      <w:pPr>
        <w:pStyle w:val="ListParagraph"/>
        <w:numPr>
          <w:ilvl w:val="0"/>
          <w:numId w:val="12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Jep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mbështetje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ligjore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ndjekjen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zbatimit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kontratave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hartimin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procedurave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pezullimit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rifillimit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amendimit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kontratave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sipas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rasteve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që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lidhen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me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zbatimin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00B5FF58" w14:textId="77777777" w:rsidR="00CE047D" w:rsidRPr="001010AE" w:rsidRDefault="00CE047D" w:rsidP="00CE047D">
      <w:pPr>
        <w:pStyle w:val="ListParagraph"/>
        <w:numPr>
          <w:ilvl w:val="0"/>
          <w:numId w:val="12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Kontribon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rritjen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transparencës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ligjshmërisë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proceset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administrative;</w:t>
      </w:r>
    </w:p>
    <w:p w14:paraId="61117941" w14:textId="77777777" w:rsidR="00CE047D" w:rsidRPr="001010AE" w:rsidRDefault="00CE047D" w:rsidP="00CE047D">
      <w:pPr>
        <w:pStyle w:val="ListParagraph"/>
        <w:numPr>
          <w:ilvl w:val="0"/>
          <w:numId w:val="12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Përgatit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përgjigje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mendime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ligjore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shkresat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kërkesat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që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mbërrijnë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drejtori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; </w:t>
      </w:r>
    </w:p>
    <w:p w14:paraId="7665ABD8" w14:textId="77777777" w:rsidR="00CE047D" w:rsidRPr="001010AE" w:rsidRDefault="00CE047D" w:rsidP="00CE047D">
      <w:pPr>
        <w:pStyle w:val="ListParagraph"/>
        <w:numPr>
          <w:ilvl w:val="0"/>
          <w:numId w:val="12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Jep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asistencë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ligjore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për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dokumentacionin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administrativ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ndjek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zbatimin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tyre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sipas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kuadrit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ligjor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në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lidhje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me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dokumentacionin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ligjor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Drejtorise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Projekteve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Investimeve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27EA6D2E" w14:textId="773D836D" w:rsidR="00D15B62" w:rsidRPr="00CE047D" w:rsidRDefault="00CE047D" w:rsidP="00CE047D">
      <w:pPr>
        <w:pStyle w:val="ListParagraph"/>
        <w:numPr>
          <w:ilvl w:val="0"/>
          <w:numId w:val="12"/>
        </w:numPr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Përdor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sistemet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elektronike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Bashkisë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për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hartimin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administrimin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ruajtjen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dokumenteve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ligjore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administrative.</w:t>
      </w:r>
    </w:p>
    <w:p w14:paraId="0DE7DC9E" w14:textId="77777777" w:rsidR="00CE047D" w:rsidRPr="00CE047D" w:rsidRDefault="00CE047D" w:rsidP="00CE047D">
      <w:pPr>
        <w:pStyle w:val="ListParagraph"/>
        <w:suppressAutoHyphens/>
        <w:spacing w:after="0"/>
        <w:ind w:left="108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676B35AE" w14:textId="77777777" w:rsidR="00D15B62" w:rsidRPr="000F1A92" w:rsidRDefault="00D15B62" w:rsidP="00D15B62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16F7485A" w14:textId="77777777" w:rsidR="00D15B62" w:rsidRPr="000F1A92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D15B62" w14:paraId="7B544106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79F6D01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257DB5" w14:textId="77777777" w:rsidR="00D15B62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6A4F6CD4" w14:textId="77777777" w:rsidR="00D15B62" w:rsidRDefault="00D15B62" w:rsidP="00D15B62">
      <w:pPr>
        <w:jc w:val="both"/>
        <w:rPr>
          <w:rFonts w:ascii="Times New Roman" w:hAnsi="Times New Roman"/>
          <w:sz w:val="24"/>
          <w:szCs w:val="24"/>
        </w:rPr>
      </w:pPr>
    </w:p>
    <w:p w14:paraId="040EDF5B" w14:textId="77777777" w:rsidR="00D15B62" w:rsidRDefault="00D15B62" w:rsidP="00D15B6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99B4D78" w14:textId="77777777" w:rsidR="00D15B62" w:rsidRDefault="00D15B62" w:rsidP="00D15B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65F7E343" w14:textId="77777777" w:rsidR="00D15B62" w:rsidRDefault="00D15B62" w:rsidP="00D15B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1D6660A" w14:textId="007127C9" w:rsidR="00D15B62" w:rsidRPr="002238CD" w:rsidRDefault="00D15B62" w:rsidP="00D15B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91592A1" w14:textId="77777777" w:rsidR="00D15B62" w:rsidRPr="003B7993" w:rsidRDefault="00D15B62" w:rsidP="00D15B6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BA71436" w14:textId="77777777" w:rsidR="00D15B62" w:rsidRPr="002238CD" w:rsidRDefault="00D15B62" w:rsidP="00D15B62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3BF40C5" w14:textId="22B1343C" w:rsidR="00D15B62" w:rsidRPr="00942C2E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</w:t>
      </w:r>
      <w:r w:rsidR="006108CB">
        <w:rPr>
          <w:rFonts w:ascii="Times New Roman" w:hAnsi="Times New Roman"/>
          <w:color w:val="000000"/>
          <w:sz w:val="24"/>
          <w:szCs w:val="24"/>
          <w:lang w:val="it-IT"/>
        </w:rPr>
        <w:t>Juridike (Drejt</w:t>
      </w:r>
      <w:r w:rsidR="004C4AAF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6108CB">
        <w:rPr>
          <w:rFonts w:ascii="Times New Roman" w:hAnsi="Times New Roman"/>
          <w:color w:val="000000"/>
          <w:sz w:val="24"/>
          <w:szCs w:val="24"/>
          <w:lang w:val="it-IT"/>
        </w:rPr>
        <w:t>si</w:t>
      </w:r>
      <w:r w:rsidR="006108CB">
        <w:rPr>
          <w:rFonts w:ascii="Times New Roman" w:hAnsi="Times New Roman"/>
          <w:color w:val="000000"/>
          <w:sz w:val="24"/>
          <w:szCs w:val="24"/>
          <w:lang w:val="it-IT"/>
        </w:rPr>
        <w:br/>
        <w:t>)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,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B24A7A6" w14:textId="77777777" w:rsidR="00D15B62" w:rsidRPr="00942C2E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8405C3A" w14:textId="3369BA0B" w:rsidR="00D15B62" w:rsidRPr="00942C2E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381EFD81" w14:textId="6ABFF316" w:rsidR="00D15B62" w:rsidRPr="004C4AAF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p w14:paraId="60DD84BB" w14:textId="77777777" w:rsidR="004C4AAF" w:rsidRPr="001F384B" w:rsidRDefault="004C4AAF" w:rsidP="004C4AAF">
      <w:pPr>
        <w:pStyle w:val="ListParagraph"/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D15B62" w:rsidRPr="00A77F8B" w14:paraId="2FF4A7FF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F00EF0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79D531" w14:textId="77777777" w:rsidR="00D15B62" w:rsidRPr="00942C2E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57DDAA64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DDEA67A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1A58298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58FC6D4" w14:textId="77777777" w:rsidR="00D15B62" w:rsidRPr="00942C2E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7CB830A" w14:textId="77777777" w:rsidR="00D15B62" w:rsidRPr="00942C2E" w:rsidRDefault="00CD582F" w:rsidP="00D15B62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D15B62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656EF02C" w14:textId="77777777" w:rsidR="00D15B62" w:rsidRPr="00942C2E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6C00A425" w14:textId="77777777" w:rsidR="00D15B62" w:rsidRPr="00942C2E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6FA60950" w14:textId="77777777" w:rsidR="00D15B62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FC0353A" w14:textId="77777777" w:rsidR="00D15B62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C6D2F5" w14:textId="77777777" w:rsidR="00D15B62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597AF29" w14:textId="77777777" w:rsidR="00D15B62" w:rsidRPr="00942C2E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17278D8A" w14:textId="77777777" w:rsidR="00D15B62" w:rsidRPr="00942C2E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636DB236" w14:textId="77777777" w:rsidR="00D15B62" w:rsidRPr="00942C2E" w:rsidRDefault="00D15B62" w:rsidP="00D15B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025A9B9C" w14:textId="44BD9426" w:rsidR="00D15B62" w:rsidRPr="00942C2E" w:rsidRDefault="00D15B62" w:rsidP="00D15B62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titucion, brenda datës </w:t>
      </w:r>
      <w:r w:rsidR="006108CB">
        <w:rPr>
          <w:rFonts w:ascii="Times New Roman" w:hAnsi="Times New Roman"/>
          <w:b/>
          <w:i/>
          <w:sz w:val="24"/>
          <w:szCs w:val="24"/>
          <w:lang w:val="it-IT"/>
        </w:rPr>
        <w:t>03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6108CB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26.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15B62" w:rsidRPr="00A77F8B" w14:paraId="4F6D644B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91068EA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95D086" w14:textId="77777777" w:rsidR="00D15B62" w:rsidRPr="00942C2E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2AD7341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32B4E91" w14:textId="2F7B3923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6108CB">
        <w:rPr>
          <w:rFonts w:ascii="Times New Roman" w:hAnsi="Times New Roman"/>
          <w:b/>
          <w:sz w:val="24"/>
          <w:szCs w:val="24"/>
          <w:lang w:val="it-IT"/>
        </w:rPr>
        <w:t>04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6108CB">
        <w:rPr>
          <w:rFonts w:ascii="Times New Roman" w:hAnsi="Times New Roman"/>
          <w:b/>
          <w:sz w:val="24"/>
          <w:szCs w:val="24"/>
          <w:lang w:val="it-IT"/>
        </w:rPr>
        <w:t>6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F71F53A" w14:textId="77777777" w:rsidR="00D15B62" w:rsidRPr="00831AAA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15B62" w14:paraId="550D9D0C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D9A923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3A48F5" w14:textId="77777777" w:rsidR="00D15B62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64EAF21" w14:textId="77777777" w:rsidR="00D15B62" w:rsidRDefault="00D15B62" w:rsidP="00D15B62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3A12955" w14:textId="77777777" w:rsidR="00D15B62" w:rsidRDefault="00D15B62" w:rsidP="00D15B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BB5907" w14:textId="77777777" w:rsidR="00D15B62" w:rsidRPr="00D652E4" w:rsidRDefault="00D15B62" w:rsidP="00D15B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36532F65" w14:textId="5680CA47" w:rsidR="00D15B62" w:rsidRPr="00D652E4" w:rsidRDefault="00D15B62" w:rsidP="00D15B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</w:t>
      </w:r>
      <w:proofErr w:type="spellStart"/>
      <w:r w:rsidRPr="00D652E4">
        <w:rPr>
          <w:rFonts w:ascii="Times New Roman" w:hAnsi="Times New Roman"/>
          <w:sz w:val="24"/>
          <w:szCs w:val="24"/>
        </w:rPr>
        <w:t>P</w:t>
      </w:r>
      <w:r w:rsidR="004C4AAF"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r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04E04F8" w14:textId="5FBCD444" w:rsidR="00D15B62" w:rsidRDefault="00D15B62" w:rsidP="00D15B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  <w:r w:rsidR="004C4AAF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792C942" w14:textId="77777777" w:rsidR="006108CB" w:rsidRPr="006108CB" w:rsidRDefault="006108CB" w:rsidP="00D15B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Ligji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nr. 8402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dat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10.09.1998, “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Për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kontrollin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disiplinimin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punimeve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ndërtimit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”,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ndryshuar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; </w:t>
      </w:r>
    </w:p>
    <w:p w14:paraId="00F920FA" w14:textId="5A2E26C9" w:rsidR="006108CB" w:rsidRPr="002B6A87" w:rsidRDefault="006108CB" w:rsidP="00D15B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VKM nr. 408,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datë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13.05.2015 “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Për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miratimin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rregullores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zhvillimit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territorit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”,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ndryshuar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1010AE">
        <w:rPr>
          <w:rFonts w:ascii="Times New Roman" w:eastAsia="Times New Roman" w:hAnsi="Times New Roman"/>
          <w:i/>
          <w:sz w:val="24"/>
          <w:szCs w:val="24"/>
          <w:u w:val="single"/>
          <w:lang w:eastAsia="zh-CN"/>
        </w:rPr>
        <w:t xml:space="preserve"> 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15B62" w:rsidRPr="00A77F8B" w14:paraId="1FE59CAB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C215850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45D412" w14:textId="77777777" w:rsidR="00D15B62" w:rsidRPr="00942C2E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46B815B3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F255C1B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774B36BF" w14:textId="77777777" w:rsidR="00D15B62" w:rsidRPr="00942C2E" w:rsidRDefault="00D15B62" w:rsidP="00D15B6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1B802D68" w14:textId="77777777" w:rsidR="00D15B62" w:rsidRDefault="00D15B62" w:rsidP="00D15B6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5AB78A" w14:textId="77777777" w:rsidR="00D15B62" w:rsidRPr="00942C2E" w:rsidRDefault="00D15B62" w:rsidP="00D15B6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763FEAEB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D2425A5" w14:textId="34727478" w:rsidR="00D15B62" w:rsidRPr="009F76D3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 w:rsidR="00CD582F">
        <w:fldChar w:fldCharType="begin"/>
      </w:r>
      <w:r w:rsidR="00CD582F">
        <w:instrText xml:space="preserve"> HYPERLINK "</w:instrText>
      </w:r>
      <w:r w:rsidR="00CD582F">
        <w:instrText xml:space="preserve">http://www.dap.gov.al" </w:instrText>
      </w:r>
      <w:r w:rsidR="00CD582F">
        <w:fldChar w:fldCharType="separate"/>
      </w:r>
      <w:r w:rsidR="004C4AAF" w:rsidRPr="004F3E23">
        <w:rPr>
          <w:rStyle w:val="Hyperlink"/>
          <w:sz w:val="24"/>
          <w:szCs w:val="24"/>
          <w:lang w:val="it-IT"/>
        </w:rPr>
        <w:t>www.dap.gov.al</w:t>
      </w:r>
      <w:r w:rsidR="00CD582F"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15B62" w:rsidRPr="00A77F8B" w14:paraId="3E01476D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C4F08D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4D2140" w14:textId="77777777" w:rsidR="00D15B62" w:rsidRPr="00942C2E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21DFCC2" w14:textId="77777777" w:rsidR="00D15B62" w:rsidRPr="00942C2E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768859" w14:textId="77777777" w:rsidR="00D15B62" w:rsidRPr="009257FC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5559B16C" w14:textId="77777777" w:rsidR="00D15B62" w:rsidRDefault="00D15B62" w:rsidP="00D15B62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D15B62" w14:paraId="0E0AE894" w14:textId="77777777" w:rsidTr="006425D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CF85612" w14:textId="77777777" w:rsidR="00D15B62" w:rsidRDefault="00D15B62" w:rsidP="006425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38928F1" w14:textId="2B940B0E" w:rsidR="00D15B62" w:rsidRDefault="00D15B62" w:rsidP="00D15B6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6978EDE0" w14:textId="77777777" w:rsidR="00CD582F" w:rsidRPr="00CD582F" w:rsidRDefault="00CD582F" w:rsidP="00D15B62">
      <w:pPr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15B62" w14:paraId="78FC38FF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FF481B6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210CFD" w14:textId="77777777" w:rsidR="00D15B62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F238ED6" w14:textId="77777777" w:rsidR="00D15B62" w:rsidRDefault="00D15B62" w:rsidP="00D15B6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22B9FDB" w14:textId="77777777" w:rsidR="00D15B62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A04EA1" w14:textId="77777777" w:rsidR="00D15B62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F5478F" w14:textId="77777777" w:rsidR="00D15B62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AC72752" w14:textId="77777777" w:rsidR="00D15B62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3C3D9E" w14:textId="77777777" w:rsidR="00D15B62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14C584" w14:textId="77777777" w:rsidR="00D15B62" w:rsidRPr="003B7993" w:rsidRDefault="00D15B62" w:rsidP="00D15B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EA411A" w14:textId="77777777" w:rsidR="00D15B62" w:rsidRPr="003B7993" w:rsidRDefault="00D15B62" w:rsidP="00D15B62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5BD06EB7" w14:textId="5F4AA9C0" w:rsidR="00D15B62" w:rsidRPr="009F76D3" w:rsidRDefault="00D15B62" w:rsidP="00D15B62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ne shkenca </w:t>
      </w:r>
      <w:r w:rsidR="006108CB">
        <w:rPr>
          <w:rFonts w:ascii="Times New Roman" w:hAnsi="Times New Roman"/>
          <w:color w:val="000000"/>
          <w:sz w:val="24"/>
          <w:szCs w:val="24"/>
          <w:lang w:val="it-IT"/>
        </w:rPr>
        <w:t>Juridike (Drejtësi)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.  Masteri Shkencor apo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="00CD582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66344E60" w14:textId="77777777" w:rsidR="00D15B62" w:rsidRPr="009F76D3" w:rsidRDefault="00D15B62" w:rsidP="00D15B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7FAFA84A" w14:textId="77777777" w:rsidR="00D15B62" w:rsidRPr="009F76D3" w:rsidRDefault="00D15B62" w:rsidP="00D15B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10D822E9" w14:textId="77777777" w:rsidR="00D15B62" w:rsidRPr="003B7993" w:rsidRDefault="00D15B62" w:rsidP="00D15B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D15B62" w:rsidRPr="00A77F8B" w14:paraId="2E91D527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EBFFA38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EF0B50" w14:textId="77777777" w:rsidR="00D15B62" w:rsidRPr="009257FC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2BAB11E2" w14:textId="77777777" w:rsidR="00D15B62" w:rsidRPr="000F1A92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CD9E756" w14:textId="77777777" w:rsidR="00D15B62" w:rsidRPr="000F1A9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2E8CBF16" w14:textId="77777777" w:rsidR="00D15B62" w:rsidRPr="000F1A92" w:rsidRDefault="00CD582F" w:rsidP="00D15B62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D15B62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688B7798" w14:textId="77777777" w:rsidR="00D15B62" w:rsidRPr="000F1A9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497802CC" w14:textId="77777777" w:rsidR="00D15B62" w:rsidRPr="000F1A9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1C101A43" w14:textId="77777777" w:rsidR="00D15B6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0CC4120" w14:textId="77777777" w:rsidR="00D15B6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6EB38BA" w14:textId="77777777" w:rsidR="00D15B6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EBF1B7" w14:textId="77777777" w:rsidR="00D15B6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A4D185" w14:textId="77777777" w:rsidR="00D15B6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06C591" w14:textId="77777777" w:rsidR="00D15B6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2D61507" w14:textId="77777777" w:rsidR="00D15B62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9F1A714" w14:textId="77777777" w:rsidR="00D15B62" w:rsidRPr="009F76D3" w:rsidRDefault="00D15B62" w:rsidP="00D15B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lastRenderedPageBreak/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A37591" w14:textId="77777777" w:rsidR="00D15B62" w:rsidRPr="009F76D3" w:rsidRDefault="00D15B62" w:rsidP="00D15B62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7E22A92" w14:textId="4E5F22DC" w:rsidR="00D15B62" w:rsidRPr="009F76D3" w:rsidRDefault="00D15B62" w:rsidP="00D15B62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7B13F6">
        <w:rPr>
          <w:rFonts w:ascii="Times New Roman" w:hAnsi="Times New Roman"/>
          <w:b/>
          <w:i/>
          <w:sz w:val="24"/>
          <w:szCs w:val="24"/>
        </w:rPr>
        <w:t>16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7B13F6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26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A87F649" w14:textId="77777777" w:rsidR="00D15B62" w:rsidRPr="009F76D3" w:rsidRDefault="00D15B62" w:rsidP="00D15B6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D15B62" w14:paraId="5803B76E" w14:textId="77777777" w:rsidTr="006425D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D0020CA" w14:textId="77777777" w:rsidR="00D15B62" w:rsidRPr="000F1A92" w:rsidRDefault="00D15B62" w:rsidP="006425D0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8F6D028" w14:textId="77777777" w:rsidR="00D15B62" w:rsidRDefault="00D15B62" w:rsidP="006425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F9C6239" w14:textId="77777777" w:rsidR="00D15B62" w:rsidRDefault="00D15B62" w:rsidP="006425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5D7120C9" w14:textId="77777777" w:rsidR="00D15B62" w:rsidRDefault="00D15B62" w:rsidP="006425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1A0CCD5" w14:textId="77777777" w:rsidR="00D15B62" w:rsidRDefault="00D15B62" w:rsidP="00D15B6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15B62" w:rsidRPr="00A77F8B" w14:paraId="279BDCDC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0DEC100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9EEAA0" w14:textId="77777777" w:rsidR="00D15B62" w:rsidRPr="009257FC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174AA95" w14:textId="77777777" w:rsidR="00D15B62" w:rsidRPr="009257FC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3C0D49F" w14:textId="3C319B13" w:rsidR="00D15B62" w:rsidRPr="009257FC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B13F6">
        <w:rPr>
          <w:rFonts w:ascii="Times New Roman" w:hAnsi="Times New Roman"/>
          <w:color w:val="FF0000"/>
          <w:sz w:val="24"/>
          <w:szCs w:val="24"/>
          <w:lang w:val="it-IT"/>
        </w:rPr>
        <w:t>17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.0</w:t>
      </w:r>
      <w:r w:rsidR="007B13F6">
        <w:rPr>
          <w:rFonts w:ascii="Times New Roman" w:hAnsi="Times New Roman"/>
          <w:color w:val="FF0000"/>
          <w:sz w:val="24"/>
          <w:szCs w:val="24"/>
          <w:lang w:val="it-IT"/>
        </w:rPr>
        <w:t>6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67A99DF8" w14:textId="77777777" w:rsidR="00D15B62" w:rsidRPr="009F76D3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D15B62" w14:paraId="2911EE8F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11E147F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055170" w14:textId="77777777" w:rsidR="00D15B62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FF9B89F" w14:textId="77777777" w:rsidR="00D15B62" w:rsidRDefault="00D15B62" w:rsidP="00D15B62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A2C68FB" w14:textId="77777777" w:rsidR="00D15B62" w:rsidRDefault="00D15B62" w:rsidP="00D15B62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C42805" w14:textId="77777777" w:rsidR="00D15B62" w:rsidRPr="00D652E4" w:rsidRDefault="00D15B62" w:rsidP="00D15B62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6440228D" w14:textId="77777777" w:rsidR="00D15B62" w:rsidRPr="00D652E4" w:rsidRDefault="00D15B62" w:rsidP="00D15B62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7A7A28" w14:textId="4AC6181D" w:rsidR="00D15B62" w:rsidRDefault="00D15B62" w:rsidP="00D15B62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Shqiperise.</w:t>
      </w:r>
    </w:p>
    <w:p w14:paraId="5D9F38AC" w14:textId="77777777" w:rsidR="006108CB" w:rsidRPr="006108CB" w:rsidRDefault="006108CB" w:rsidP="006108CB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Ligji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nr. 8402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dat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10.09.1998, “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Për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kontrollin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dhe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disiplinimin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punimeve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ndërtimit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”,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ndryshuar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; </w:t>
      </w:r>
    </w:p>
    <w:p w14:paraId="404DFEFE" w14:textId="77777777" w:rsidR="006108CB" w:rsidRPr="002B6A87" w:rsidRDefault="006108CB" w:rsidP="006108CB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VKM nr. 408,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datë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13.05.2015 “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Për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miratimin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e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rregullores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së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zhvillimit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të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territorit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”,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ndryshuar</w:t>
      </w:r>
      <w:proofErr w:type="spellEnd"/>
      <w:r w:rsidRPr="001010A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1010AE">
        <w:rPr>
          <w:rFonts w:ascii="Times New Roman" w:eastAsia="Times New Roman" w:hAnsi="Times New Roman"/>
          <w:i/>
          <w:sz w:val="24"/>
          <w:szCs w:val="24"/>
          <w:u w:val="single"/>
          <w:lang w:eastAsia="zh-CN"/>
        </w:rPr>
        <w:t xml:space="preserve">  </w:t>
      </w:r>
    </w:p>
    <w:p w14:paraId="2C97FBAF" w14:textId="77777777" w:rsidR="006108CB" w:rsidRPr="002B6A87" w:rsidRDefault="006108CB" w:rsidP="006108CB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15B62" w:rsidRPr="00A77F8B" w14:paraId="5EC47948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ACF877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C4E651" w14:textId="77777777" w:rsidR="00D15B62" w:rsidRPr="009257FC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326DA06A" w14:textId="77777777" w:rsidR="00D15B62" w:rsidRPr="009257FC" w:rsidRDefault="00D15B62" w:rsidP="00D15B62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AFD382" w14:textId="77777777" w:rsidR="00D15B62" w:rsidRDefault="00D15B62" w:rsidP="00D15B62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1E51E344" w14:textId="77777777" w:rsidR="00D15B62" w:rsidRPr="009257FC" w:rsidRDefault="00D15B62" w:rsidP="00D15B62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68874A8" w14:textId="77777777" w:rsidR="00D15B62" w:rsidRPr="009257FC" w:rsidRDefault="00D15B62" w:rsidP="00D15B62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BF01969" w14:textId="77777777" w:rsidR="00D15B62" w:rsidRPr="009257FC" w:rsidRDefault="00D15B62" w:rsidP="00D15B62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450BBCD1" w14:textId="07CF1FBE" w:rsidR="00D15B62" w:rsidRPr="000727A3" w:rsidRDefault="00D15B62" w:rsidP="00D15B62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="004C4AAF">
          <w:rPr>
            <w:rStyle w:val="Hyperlink"/>
            <w:sz w:val="24"/>
            <w:lang w:val="it-IT"/>
          </w:rPr>
          <w:t>ëëë</w:t>
        </w:r>
        <w:r w:rsidRPr="009257FC">
          <w:rPr>
            <w:rStyle w:val="Hyperlink"/>
            <w:sz w:val="24"/>
            <w:lang w:val="it-IT"/>
          </w:rPr>
          <w:t>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D15B62" w:rsidRPr="00A77F8B" w14:paraId="09E96CAD" w14:textId="77777777" w:rsidTr="006425D0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E577883" w14:textId="77777777" w:rsidR="00D15B62" w:rsidRDefault="00D15B62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B72A95" w14:textId="77777777" w:rsidR="00D15B62" w:rsidRPr="009257FC" w:rsidRDefault="00D15B62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AFAD474" w14:textId="7DD16AEA" w:rsidR="00D15B62" w:rsidRPr="002E237B" w:rsidRDefault="00D15B62" w:rsidP="00D15B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B13F6">
        <w:rPr>
          <w:rFonts w:ascii="Times New Roman" w:hAnsi="Times New Roman"/>
          <w:sz w:val="24"/>
          <w:szCs w:val="24"/>
          <w:lang w:val="it-IT"/>
        </w:rPr>
        <w:t xml:space="preserve">dhe ne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B13F6">
        <w:rPr>
          <w:rFonts w:ascii="Times New Roman" w:hAnsi="Times New Roman"/>
          <w:sz w:val="24"/>
          <w:szCs w:val="24"/>
          <w:lang w:val="it-IT"/>
        </w:rPr>
        <w:t>faqen zyrtare te</w:t>
      </w:r>
      <w:r>
        <w:rPr>
          <w:rFonts w:ascii="Times New Roman" w:hAnsi="Times New Roman"/>
          <w:sz w:val="24"/>
          <w:szCs w:val="24"/>
          <w:lang w:val="it-IT"/>
        </w:rPr>
        <w:t xml:space="preserve">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63B55B67" w14:textId="77777777" w:rsidR="00D15B62" w:rsidRDefault="00D15B62" w:rsidP="00D15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3F806286" w14:textId="77777777" w:rsidR="00D15B62" w:rsidRDefault="00D15B62" w:rsidP="00D15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3AC16F12" w14:textId="77777777" w:rsidR="00163E5B" w:rsidRDefault="00163E5B"/>
    <w:sectPr w:rsidR="00163E5B" w:rsidSect="004053A7">
      <w:footerReference w:type="defaul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1F36" w14:textId="77777777" w:rsidR="00D15B62" w:rsidRDefault="00D15B62" w:rsidP="00D15B62">
      <w:pPr>
        <w:spacing w:after="0" w:line="240" w:lineRule="auto"/>
      </w:pPr>
      <w:r>
        <w:separator/>
      </w:r>
    </w:p>
  </w:endnote>
  <w:endnote w:type="continuationSeparator" w:id="0">
    <w:p w14:paraId="4AFC186E" w14:textId="77777777" w:rsidR="00D15B62" w:rsidRDefault="00D15B62" w:rsidP="00D1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9E52" w14:textId="77777777" w:rsidR="00D15B62" w:rsidRPr="00E7568C" w:rsidRDefault="00D15B62" w:rsidP="00D15B62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1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1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2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2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11F8BB74" w14:textId="77777777" w:rsidR="00D15B62" w:rsidRDefault="00D15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3B1E" w14:textId="77777777" w:rsidR="00D15B62" w:rsidRDefault="00D15B62" w:rsidP="00D15B62">
      <w:pPr>
        <w:spacing w:after="0" w:line="240" w:lineRule="auto"/>
      </w:pPr>
      <w:r>
        <w:separator/>
      </w:r>
    </w:p>
  </w:footnote>
  <w:footnote w:type="continuationSeparator" w:id="0">
    <w:p w14:paraId="32BC3A09" w14:textId="77777777" w:rsidR="00D15B62" w:rsidRDefault="00D15B62" w:rsidP="00D15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68CCCB56"/>
    <w:lvl w:ilvl="0" w:tplc="29C0167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1C386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D09C6"/>
    <w:multiLevelType w:val="hybridMultilevel"/>
    <w:tmpl w:val="47087A08"/>
    <w:lvl w:ilvl="0" w:tplc="FF4241E8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4CF"/>
    <w:multiLevelType w:val="hybridMultilevel"/>
    <w:tmpl w:val="981C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62"/>
    <w:rsid w:val="00163E5B"/>
    <w:rsid w:val="00204AA0"/>
    <w:rsid w:val="004053A7"/>
    <w:rsid w:val="004C4AAF"/>
    <w:rsid w:val="004E4C6D"/>
    <w:rsid w:val="00583B10"/>
    <w:rsid w:val="006108CB"/>
    <w:rsid w:val="007B13F6"/>
    <w:rsid w:val="00830CDA"/>
    <w:rsid w:val="008E6EA8"/>
    <w:rsid w:val="00904856"/>
    <w:rsid w:val="0096693B"/>
    <w:rsid w:val="00C55B0E"/>
    <w:rsid w:val="00CD582F"/>
    <w:rsid w:val="00CE047D"/>
    <w:rsid w:val="00D15B62"/>
    <w:rsid w:val="00E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2C22"/>
  <w15:chartTrackingRefBased/>
  <w15:docId w15:val="{30BE72B3-8BFC-4E27-A1B4-6864DED3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D15B6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15B62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1"/>
    <w:qFormat/>
    <w:locked/>
    <w:rsid w:val="00D15B6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1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6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C4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2026-05-18T10:43:00Z</dcterms:created>
  <dcterms:modified xsi:type="dcterms:W3CDTF">2026-05-19T06:46:00Z</dcterms:modified>
</cp:coreProperties>
</file>