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8586" w14:textId="59820D86" w:rsidR="008B2E75" w:rsidRPr="004E2F48" w:rsidRDefault="00444335" w:rsidP="00E82B2D">
      <w:pPr>
        <w:pStyle w:val="ListParagraph"/>
        <w:spacing w:line="276" w:lineRule="auto"/>
        <w:ind w:left="1080"/>
        <w:jc w:val="both"/>
        <w:rPr>
          <w:rFonts w:ascii="Arial" w:hAnsi="Arial" w:cs="Arial"/>
          <w:b/>
          <w:bCs/>
          <w:sz w:val="28"/>
          <w:szCs w:val="28"/>
          <w:lang w:val="sq-AL"/>
        </w:rPr>
      </w:pPr>
      <w:r w:rsidRPr="004E2F48">
        <w:rPr>
          <w:rFonts w:ascii="Times New Roman" w:hAnsi="Times New Roman" w:cs="Times New Roman"/>
          <w:b/>
          <w:bCs/>
          <w:sz w:val="28"/>
          <w:szCs w:val="28"/>
          <w:lang w:val="sq-AL"/>
        </w:rPr>
        <w:t>U.R. Impact (URBACT IV): Eventi final dhe rezultatet e projektit</w:t>
      </w:r>
    </w:p>
    <w:p w14:paraId="30B15CC4" w14:textId="77777777" w:rsidR="004E2F48" w:rsidRDefault="004E2F48" w:rsidP="007C3F8B">
      <w:pPr>
        <w:pStyle w:val="NormalWeb"/>
        <w:spacing w:line="276" w:lineRule="auto"/>
        <w:rPr>
          <w:rFonts w:eastAsia="Times New Roman"/>
          <w:lang w:val="en-US"/>
          <w14:ligatures w14:val="none"/>
        </w:rPr>
      </w:pPr>
    </w:p>
    <w:p w14:paraId="4A28BD5A" w14:textId="2C00AB1E" w:rsidR="00D43CB0" w:rsidRPr="007C3F8B" w:rsidRDefault="00B57689" w:rsidP="007C3F8B">
      <w:pPr>
        <w:pStyle w:val="NormalWeb"/>
        <w:spacing w:line="276" w:lineRule="auto"/>
        <w:rPr>
          <w:rFonts w:eastAsia="Times New Roman"/>
          <w:lang w:val="en-US"/>
          <w14:ligatures w14:val="none"/>
        </w:rPr>
      </w:pPr>
      <w:r w:rsidRPr="007C3F8B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5FA7376" wp14:editId="4C382B95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2412365" cy="1795780"/>
            <wp:effectExtent l="0" t="0" r="6985" b="0"/>
            <wp:wrapSquare wrapText="bothSides"/>
            <wp:docPr id="135510538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Në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kuadër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të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projektit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r w:rsidR="00D43CB0" w:rsidRPr="007C3F8B">
        <w:rPr>
          <w:rFonts w:eastAsia="Times New Roman"/>
          <w:b/>
          <w:bCs/>
          <w:lang w:val="en-US"/>
          <w14:ligatures w14:val="none"/>
        </w:rPr>
        <w:t>U.R. Impact</w:t>
      </w:r>
      <w:r w:rsidR="00D43CB0" w:rsidRPr="007C3F8B">
        <w:rPr>
          <w:rFonts w:eastAsia="Times New Roman"/>
          <w:lang w:val="en-US"/>
          <w14:ligatures w14:val="none"/>
        </w:rPr>
        <w:t xml:space="preserve">,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i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financuar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nga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r w:rsidR="00D43CB0" w:rsidRPr="007C3F8B">
        <w:rPr>
          <w:rFonts w:eastAsia="Times New Roman"/>
          <w:b/>
          <w:bCs/>
          <w:lang w:val="en-US"/>
          <w14:ligatures w14:val="none"/>
        </w:rPr>
        <w:t xml:space="preserve">Bashkimi </w:t>
      </w:r>
      <w:proofErr w:type="spellStart"/>
      <w:r w:rsidR="00D43CB0" w:rsidRPr="007C3F8B">
        <w:rPr>
          <w:rFonts w:eastAsia="Times New Roman"/>
          <w:b/>
          <w:bCs/>
          <w:lang w:val="en-US"/>
          <w14:ligatures w14:val="none"/>
        </w:rPr>
        <w:t>Europian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përmes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programit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r w:rsidR="00D43CB0" w:rsidRPr="007C3F8B">
        <w:rPr>
          <w:rFonts w:eastAsia="Times New Roman"/>
          <w:b/>
          <w:bCs/>
          <w:lang w:val="en-US"/>
          <w14:ligatures w14:val="none"/>
        </w:rPr>
        <w:t>Interreg URBACT IV</w:t>
      </w:r>
      <w:r w:rsidR="00D43CB0" w:rsidRPr="007C3F8B">
        <w:rPr>
          <w:rFonts w:eastAsia="Times New Roman"/>
          <w:lang w:val="en-US"/>
          <w14:ligatures w14:val="none"/>
        </w:rPr>
        <w:t xml:space="preserve">, u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zhvillua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takimi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përmbyllës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i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 xml:space="preserve"> </w:t>
      </w:r>
      <w:proofErr w:type="spellStart"/>
      <w:r w:rsidR="00D43CB0" w:rsidRPr="007C3F8B">
        <w:rPr>
          <w:rFonts w:eastAsia="Times New Roman"/>
          <w:lang w:val="en-US"/>
          <w14:ligatures w14:val="none"/>
        </w:rPr>
        <w:t>projektit</w:t>
      </w:r>
      <w:proofErr w:type="spellEnd"/>
      <w:r w:rsidR="00D43CB0" w:rsidRPr="007C3F8B">
        <w:rPr>
          <w:rFonts w:eastAsia="Times New Roman"/>
          <w:lang w:val="en-US"/>
          <w14:ligatures w14:val="none"/>
        </w:rPr>
        <w:t>.</w:t>
      </w:r>
    </w:p>
    <w:p w14:paraId="45F67661" w14:textId="5B36B813" w:rsidR="00B57689" w:rsidRPr="007C3F8B" w:rsidRDefault="00D43CB0" w:rsidP="007C3F8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Gjatë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këtij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takimi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u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prezantua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një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përmbledhje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e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plotë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dhe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gjithëpërfshirëse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e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rrugëtimit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të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projektit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duke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reflektuar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mbi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aktivitetet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,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arritjet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dhe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rezultatet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e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realizuara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përgjatë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zbatimit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të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tij</w:t>
      </w:r>
      <w:proofErr w:type="spellEnd"/>
      <w:r w:rsidRPr="00D43CB0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.</w:t>
      </w:r>
    </w:p>
    <w:p w14:paraId="1B2832C5" w14:textId="5D0A370C" w:rsidR="00B57689" w:rsidRPr="007C3F8B" w:rsidRDefault="00B57689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sz w:val="24"/>
          <w:szCs w:val="24"/>
          <w:lang w:val="sq-AL"/>
        </w:rPr>
        <w:t>Gjatë takimit, theksi u vendos në takimet vendore të realizuara me pjesëmarrjen aktive të Urbact Local Group, si dhe në takimet transnacionale, ku morën pjesë të gjithë partnerët e projektit. U analizuan pikat kyçe të diskutimeve dhe temat e trajtuara me mbështetjen e ekspertëve ndërkombëtarë.</w:t>
      </w:r>
    </w:p>
    <w:p w14:paraId="19FA3822" w14:textId="67E96A2E" w:rsidR="00B57689" w:rsidRPr="007C3F8B" w:rsidRDefault="00B57689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8B">
        <w:rPr>
          <w:rFonts w:ascii="Times New Roman" w:hAnsi="Times New Roman" w:cs="Times New Roman"/>
          <w:sz w:val="24"/>
          <w:szCs w:val="24"/>
          <w:lang w:val="sq-AL"/>
        </w:rPr>
        <w:t>Gjithashtu, u prezantuan në mënyrë të përmbledhur rezultatet e arritura të projektit, në përputhje të plotë me objektivat kryesorë të Programit URBACT IV dhe objektivat specifikë të projektit U.R. Impact</w:t>
      </w:r>
      <w:r w:rsidR="00D43CB0" w:rsidRPr="007C3F8B">
        <w:rPr>
          <w:rFonts w:ascii="Times New Roman" w:hAnsi="Times New Roman" w:cs="Times New Roman"/>
          <w:sz w:val="24"/>
          <w:szCs w:val="24"/>
          <w:lang w:val="sq-AL"/>
        </w:rPr>
        <w:t>, si më poshtë:</w:t>
      </w:r>
    </w:p>
    <w:p w14:paraId="1BC2F25C" w14:textId="5D6D90E5" w:rsidR="00EC2BFC" w:rsidRPr="007C3F8B" w:rsidRDefault="00045EE9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Realizimi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 Planit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Integruar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Veprimit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(Integrated Action Plan</w:t>
      </w:r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Bashkinë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Kamëz, me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titull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“Park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Multifunksional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brigjet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lumit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Tiranës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përputhje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plotë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konceptin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rigjenerimit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urban me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impakt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Bashkinë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Kamëz,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CB0" w:rsidRPr="007C3F8B">
        <w:rPr>
          <w:rFonts w:ascii="Times New Roman" w:hAnsi="Times New Roman" w:cs="Times New Roman"/>
          <w:sz w:val="24"/>
          <w:szCs w:val="24"/>
          <w:lang w:val="en-US"/>
        </w:rPr>
        <w:t>integruar</w:t>
      </w:r>
      <w:proofErr w:type="spellEnd"/>
      <w:r w:rsidR="00D43CB0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Planin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Përgjithshëm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Vendor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Bashkisë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Kamëz.</w:t>
      </w:r>
    </w:p>
    <w:p w14:paraId="27473608" w14:textId="4FFA154A" w:rsidR="00215CFA" w:rsidRPr="00215CFA" w:rsidRDefault="002149FE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8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48E0D2F" wp14:editId="16A0E380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2515235" cy="1724660"/>
            <wp:effectExtent l="0" t="0" r="0" b="8890"/>
            <wp:wrapSquare wrapText="bothSides"/>
            <wp:docPr id="19044923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Ky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dokument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jetë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CB0" w:rsidRPr="007C3F8B">
        <w:rPr>
          <w:rFonts w:ascii="Times New Roman" w:hAnsi="Times New Roman" w:cs="Times New Roman"/>
          <w:sz w:val="24"/>
          <w:szCs w:val="24"/>
          <w:lang w:val="en-US"/>
        </w:rPr>
        <w:t>aksesueshëm</w:t>
      </w:r>
      <w:proofErr w:type="spellEnd"/>
      <w:r w:rsidR="00D43CB0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faqen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zyrtare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CB0" w:rsidRPr="007C3F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rojektit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U.R. Impact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CB0" w:rsidRPr="007C3F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rogramit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URBACT IV.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Hartimi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i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këtij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dokumenti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është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realizuar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nga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Koordinatori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Projektit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për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Bashkinë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Kamëz,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nën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mbikëqyrjen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e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dy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ekspertëve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r w:rsidR="00215CFA" w:rsidRPr="00215CF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  <w14:ligatures w14:val="none"/>
        </w:rPr>
        <w:t>Ad Hoc</w:t>
      </w:r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dhe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të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Ekspertit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Kryesor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të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ofruar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nga</w:t>
      </w:r>
      <w:proofErr w:type="spellEnd"/>
      <w:r w:rsidR="00215CFA"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Programi.</w:t>
      </w:r>
    </w:p>
    <w:p w14:paraId="5A2F30AD" w14:textId="480FA19B" w:rsidR="00215CFA" w:rsidRPr="007C3F8B" w:rsidRDefault="00215CFA" w:rsidP="007C3F8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</w:pP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Procesi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përgatitjes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është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zhvilluar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në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bashkëpunim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të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ngushtë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me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partnerët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e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projektit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nga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tetë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qytete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të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ndryshme</w:t>
      </w:r>
      <w:proofErr w:type="spellEnd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215CF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europiane</w:t>
      </w:r>
      <w:proofErr w:type="spellEnd"/>
    </w:p>
    <w:p w14:paraId="6967E325" w14:textId="788A9BEC" w:rsidR="00B57689" w:rsidRPr="007C3F8B" w:rsidRDefault="00215CFA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="00045EE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Prezantimi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Bashkisë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Kamëz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gjashtë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qytete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europiane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duke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integruar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atë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hartën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”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rrjeteve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qyteteve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që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bashkëpunojnë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forcuar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kapacitetet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tyre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përmes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projekteve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transnacionale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financuara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nga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programet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Bashkimit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Europian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0D67E1" w14:textId="5C2E5548" w:rsidR="00444335" w:rsidRPr="007C3F8B" w:rsidRDefault="00215CFA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3.</w:t>
      </w:r>
      <w:r w:rsidR="00045EE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Rritja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kapaciteteve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punonjësve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Bashkisë</w:t>
      </w:r>
      <w:proofErr w:type="spellEnd"/>
      <w:r w:rsidR="00B57689"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Kamëz</w:t>
      </w:r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,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përftuar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përmes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takimeve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lokale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transnacionale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mbi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tematika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ndryshme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bazuar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praktikat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përvojat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më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mira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europiane</w:t>
      </w:r>
      <w:proofErr w:type="spellEnd"/>
      <w:r w:rsidR="00B57689" w:rsidRPr="007C3F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5B35C6" w14:textId="2FE66D1E" w:rsidR="00D60B23" w:rsidRPr="007C3F8B" w:rsidRDefault="00D60B23" w:rsidP="007C3F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Angazhimi</w:t>
      </w:r>
      <w:proofErr w:type="spellEnd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Këshillit</w:t>
      </w:r>
      <w:proofErr w:type="spellEnd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Vendor Rinor </w:t>
      </w:r>
      <w:proofErr w:type="spellStart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Kamzës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projekte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ndryshme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, me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qëllim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rritjen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kapaciteteve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pjesëmarrje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aktive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jetën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qytetit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proceset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vendimmarrëse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lidhur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politikat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zhvilluese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territorin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Bashkisë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F8B">
        <w:rPr>
          <w:rFonts w:ascii="Times New Roman" w:hAnsi="Times New Roman" w:cs="Times New Roman"/>
          <w:sz w:val="24"/>
          <w:szCs w:val="24"/>
          <w:lang w:val="en-US"/>
        </w:rPr>
        <w:t>Kamëz</w:t>
      </w:r>
      <w:proofErr w:type="spellEnd"/>
      <w:r w:rsidRPr="007C3F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25A296" w14:textId="3E3BC770" w:rsidR="00444335" w:rsidRPr="007C3F8B" w:rsidRDefault="00444335" w:rsidP="007C3F8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Gjatë takimit u prezantuan strategjia dhe hapat e ardhshëm për zbatimin e Planit të Integruar të Veprimit, duke vënë theksin te </w:t>
      </w:r>
      <w:r w:rsidR="006E09BC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mekanizmat e qeverisjes</w:t>
      </w:r>
      <w:r w:rsidR="006E09BC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dhe te mundësitë e financimit që ofrojnë organizmat ndërkombëtarë, kryesisht mekanizmat e Bashkimit Europian përmes fondeve IPA III.</w:t>
      </w:r>
    </w:p>
    <w:p w14:paraId="3CEA19F6" w14:textId="38D508A6" w:rsidR="00444335" w:rsidRPr="007C3F8B" w:rsidRDefault="00444335" w:rsidP="007C3F8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Nga ana e Koordinatorit të Projektit, në kuadër të procesit të anëtarësimit të Shqipërisë në Bashkimin Europian, u mbajt një prezantim përmbledhës dhe konceptual mbi një nga politikat kryesore të Bashkimit Europian, siç është Politika e Kohezionit. Në këtë kontekst, theksi u vendos veçanërisht te Bashkëpunimi Territorial Europian, programet Interreg dhe projektet e financuara prej tyre. Krahas programeve URBACT IV, Interreg Europe dhe Euro-MED, iu dha rëndësi e veçantë programeve IPA ADRION dhe IPA South Adriatic, të cilat shërbejnë si mekanizma kyç për zbatimin e Strategjisë EUSAIR.</w:t>
      </w:r>
    </w:p>
    <w:p w14:paraId="2E992785" w14:textId="75EE644D" w:rsidR="00444335" w:rsidRPr="007C3F8B" w:rsidRDefault="00444335" w:rsidP="007C3F8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Gjithashtu</w:t>
      </w:r>
      <w:r w:rsidR="006E09BC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u realizua një përmbledhje konceptuale mbi rolin e bashkive në procesin e anëtarësimit të Shqipërisë në Bashkimin Europian, duke u ndalur kryesisht te të drejtat dhe detyrimet e përcaktuara në Kapitullin 22 të Chapters of Acquis. Ky seksion u shoqërua me ndërveprim aktiv të pjesëmarrësve përmes pyetje-përgjigjeve, duke nxitur diskutime konstruktive.</w:t>
      </w:r>
    </w:p>
    <w:p w14:paraId="54EA6D45" w14:textId="33B773CB" w:rsidR="006E09BC" w:rsidRPr="007C3F8B" w:rsidRDefault="00753D0F" w:rsidP="007C3F8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4963DD" wp14:editId="6761B912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709545" cy="1666875"/>
            <wp:effectExtent l="0" t="0" r="0" b="9525"/>
            <wp:wrapSquare wrapText="bothSides"/>
            <wp:docPr id="27921313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335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Duke marrë parasysh p</w:t>
      </w:r>
      <w:r w:rsidR="006E09BC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jesëmarrjen</w:t>
      </w:r>
      <w:r w:rsidR="00444335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e </w:t>
      </w:r>
      <w:r w:rsidR="006E09BC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>Këshillit Vendor R</w:t>
      </w:r>
      <w:r w:rsidR="006E09BC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inor </w:t>
      </w:r>
      <w:r w:rsidR="00444335" w:rsidRPr="007C3F8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në takim, u realizua një prezantim përmbledhës i Programit Eramus+ dhe mundësive që ai ofron për të rinjtë. </w:t>
      </w:r>
    </w:p>
    <w:p w14:paraId="3A690629" w14:textId="61B2D3B6" w:rsidR="00713757" w:rsidRPr="007C3F8B" w:rsidRDefault="00713757" w:rsidP="007C3F8B">
      <w:p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sz w:val="24"/>
          <w:szCs w:val="24"/>
          <w:lang w:val="sq-AL"/>
        </w:rPr>
        <w:t>Diskutimet e zhvilluara gjatë këtij seksioni ishin konstruktive dhe theksuan rolin thelbësor të të rinjve si promovues të vlerave dhe standardeve europiane në vend.</w:t>
      </w:r>
    </w:p>
    <w:p w14:paraId="310703E0" w14:textId="4CA6E9ED" w:rsidR="00FB3EBD" w:rsidRPr="007C3F8B" w:rsidRDefault="00713757" w:rsidP="007C3F8B">
      <w:p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3F8B">
        <w:rPr>
          <w:rFonts w:ascii="Times New Roman" w:hAnsi="Times New Roman" w:cs="Times New Roman"/>
          <w:sz w:val="24"/>
          <w:szCs w:val="24"/>
          <w:lang w:val="sq-AL"/>
        </w:rPr>
        <w:t>Në përmbyllje, u theksua domosdoshmëria e angazhimit të tyre të qëndrueshëm dhe aktiv në jetën publike dhe komunitare.</w:t>
      </w:r>
    </w:p>
    <w:sectPr w:rsidR="00FB3EBD" w:rsidRPr="007C3F8B" w:rsidSect="0041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5EB"/>
    <w:multiLevelType w:val="multilevel"/>
    <w:tmpl w:val="04081AD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1" w15:restartNumberingAfterBreak="0">
    <w:nsid w:val="1F4D0910"/>
    <w:multiLevelType w:val="hybridMultilevel"/>
    <w:tmpl w:val="150258D6"/>
    <w:lvl w:ilvl="0" w:tplc="0634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061F"/>
    <w:multiLevelType w:val="hybridMultilevel"/>
    <w:tmpl w:val="29088544"/>
    <w:lvl w:ilvl="0" w:tplc="D01E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0412F"/>
    <w:multiLevelType w:val="hybridMultilevel"/>
    <w:tmpl w:val="89B6792C"/>
    <w:lvl w:ilvl="0" w:tplc="E67000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4A"/>
    <w:multiLevelType w:val="hybridMultilevel"/>
    <w:tmpl w:val="2B40B7F4"/>
    <w:lvl w:ilvl="0" w:tplc="27B23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8071">
    <w:abstractNumId w:val="2"/>
  </w:num>
  <w:num w:numId="2" w16cid:durableId="1983578652">
    <w:abstractNumId w:val="0"/>
  </w:num>
  <w:num w:numId="3" w16cid:durableId="1023481322">
    <w:abstractNumId w:val="3"/>
  </w:num>
  <w:num w:numId="4" w16cid:durableId="133839097">
    <w:abstractNumId w:val="4"/>
  </w:num>
  <w:num w:numId="5" w16cid:durableId="36217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F0"/>
    <w:rsid w:val="00045EE9"/>
    <w:rsid w:val="00071927"/>
    <w:rsid w:val="002149FE"/>
    <w:rsid w:val="00215CFA"/>
    <w:rsid w:val="002B44F0"/>
    <w:rsid w:val="003052D9"/>
    <w:rsid w:val="0036612A"/>
    <w:rsid w:val="00415E1F"/>
    <w:rsid w:val="00444335"/>
    <w:rsid w:val="004C2447"/>
    <w:rsid w:val="004D2AAA"/>
    <w:rsid w:val="004E2F48"/>
    <w:rsid w:val="006E09BC"/>
    <w:rsid w:val="00701E18"/>
    <w:rsid w:val="00713757"/>
    <w:rsid w:val="00753D0F"/>
    <w:rsid w:val="00762B34"/>
    <w:rsid w:val="007C3F8B"/>
    <w:rsid w:val="008B2E75"/>
    <w:rsid w:val="00973D66"/>
    <w:rsid w:val="00A30728"/>
    <w:rsid w:val="00B34974"/>
    <w:rsid w:val="00B57689"/>
    <w:rsid w:val="00C16AB3"/>
    <w:rsid w:val="00C85D91"/>
    <w:rsid w:val="00CA6682"/>
    <w:rsid w:val="00D02408"/>
    <w:rsid w:val="00D43CB0"/>
    <w:rsid w:val="00D60B23"/>
    <w:rsid w:val="00E82B2D"/>
    <w:rsid w:val="00EC2BFC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4FBE"/>
  <w15:chartTrackingRefBased/>
  <w15:docId w15:val="{D3B04EB2-C8E2-4793-930A-E564EF90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49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Koordinim Zhvillimi</cp:lastModifiedBy>
  <cp:revision>32</cp:revision>
  <cp:lastPrinted>2026-02-03T13:10:00Z</cp:lastPrinted>
  <dcterms:created xsi:type="dcterms:W3CDTF">2026-02-03T13:06:00Z</dcterms:created>
  <dcterms:modified xsi:type="dcterms:W3CDTF">2026-02-12T09:14:00Z</dcterms:modified>
</cp:coreProperties>
</file>