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C4FE" w14:textId="77777777" w:rsidR="00B17094" w:rsidRDefault="00B17094" w:rsidP="00B17094">
      <w:pPr>
        <w:tabs>
          <w:tab w:val="left" w:pos="2460"/>
          <w:tab w:val="center" w:pos="468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611465A" w14:textId="77777777" w:rsidR="00B17094" w:rsidRPr="00B17094" w:rsidRDefault="00B17094" w:rsidP="00B17094">
      <w:pPr>
        <w:pBdr>
          <w:bottom w:val="single" w:sz="12" w:space="1" w:color="auto"/>
        </w:pBdr>
        <w:jc w:val="center"/>
        <w:rPr>
          <w:sz w:val="24"/>
          <w:szCs w:val="24"/>
          <w:lang w:val="it-IT"/>
        </w:rPr>
      </w:pPr>
      <w:r w:rsidRPr="00B97131">
        <w:rPr>
          <w:noProof/>
          <w:sz w:val="24"/>
          <w:szCs w:val="24"/>
        </w:rPr>
        <w:drawing>
          <wp:inline distT="0" distB="0" distL="0" distR="0" wp14:anchorId="3D174E65" wp14:editId="42273C6D">
            <wp:extent cx="873760" cy="620202"/>
            <wp:effectExtent l="0" t="0" r="0" b="889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39" cy="6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094">
        <w:rPr>
          <w:sz w:val="24"/>
          <w:szCs w:val="24"/>
          <w:lang w:val="it-IT"/>
        </w:rPr>
        <w:t xml:space="preserve"> </w:t>
      </w:r>
    </w:p>
    <w:p w14:paraId="7FC4AAC1" w14:textId="77777777" w:rsidR="00B17094" w:rsidRPr="00B17094" w:rsidRDefault="00B17094" w:rsidP="00B1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7094">
        <w:rPr>
          <w:rFonts w:ascii="Times New Roman" w:hAnsi="Times New Roman" w:cs="Times New Roman"/>
          <w:b/>
          <w:sz w:val="24"/>
          <w:szCs w:val="24"/>
          <w:lang w:val="it-IT"/>
        </w:rPr>
        <w:t>REPUBLIKA E SHQIPËRISË</w:t>
      </w:r>
    </w:p>
    <w:p w14:paraId="36D7B9EE" w14:textId="77777777" w:rsidR="00B17094" w:rsidRPr="00B17094" w:rsidRDefault="00B17094" w:rsidP="00B1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7094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D04B735" w14:textId="5E802FA2" w:rsidR="00B17094" w:rsidRPr="00FB7B07" w:rsidRDefault="00B17094" w:rsidP="00B170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17094">
        <w:rPr>
          <w:rFonts w:ascii="Times New Roman" w:hAnsi="Times New Roman" w:cs="Times New Roman"/>
          <w:sz w:val="24"/>
          <w:szCs w:val="24"/>
          <w:lang w:val="it-IT"/>
        </w:rPr>
        <w:t>Nr. ______prot.</w:t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1709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</w:t>
      </w:r>
      <w:r w:rsidRPr="00FB7B07">
        <w:rPr>
          <w:rFonts w:ascii="Times New Roman" w:hAnsi="Times New Roman" w:cs="Times New Roman"/>
          <w:sz w:val="24"/>
          <w:szCs w:val="24"/>
          <w:lang w:val="it-IT"/>
        </w:rPr>
        <w:t>Kamëz, më __.__202</w:t>
      </w:r>
      <w:r w:rsidR="00EF3860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8F51445" w14:textId="77777777" w:rsidR="00B17094" w:rsidRPr="00FB7B07" w:rsidRDefault="00B17094" w:rsidP="00B170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4F53E9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53E9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10AC2C20" w14:textId="339F6D56" w:rsidR="00C962F1" w:rsidRPr="004F53E9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4F53E9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4F53E9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4F53E9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4F53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</w:t>
      </w:r>
      <w:r w:rsid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4F53E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8256EAA" w14:textId="6FFFAC02" w:rsidR="00C962F1" w:rsidRPr="00EF3860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F3860">
        <w:rPr>
          <w:rFonts w:ascii="Times New Roman" w:hAnsi="Times New Roman"/>
          <w:b/>
          <w:sz w:val="24"/>
          <w:szCs w:val="24"/>
          <w:lang w:val="it-IT"/>
        </w:rPr>
        <w:t>Specialist</w:t>
      </w:r>
      <w:r w:rsidR="00FB7B07" w:rsidRPr="00EF386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F3860" w:rsidRPr="00EF3860">
        <w:rPr>
          <w:rFonts w:ascii="Times New Roman" w:hAnsi="Times New Roman"/>
          <w:b/>
          <w:sz w:val="24"/>
          <w:szCs w:val="24"/>
          <w:lang w:val="it-IT"/>
        </w:rPr>
        <w:t xml:space="preserve">Psikolog prane Drejtorise se </w:t>
      </w:r>
      <w:r w:rsidR="00EF3860">
        <w:rPr>
          <w:rFonts w:ascii="Times New Roman" w:hAnsi="Times New Roman"/>
          <w:b/>
          <w:sz w:val="24"/>
          <w:szCs w:val="24"/>
          <w:lang w:val="it-IT"/>
        </w:rPr>
        <w:t>Arsimit,Rinise dhe Sportit</w:t>
      </w:r>
      <w:r w:rsidR="00CE0780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0F133B97" w14:textId="77777777" w:rsidR="00C962F1" w:rsidRPr="00EF3860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962F1" w:rsidRPr="00FB7B07" w14:paraId="1F699DD3" w14:textId="77777777" w:rsidTr="00513C5D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EF3860" w:rsidRDefault="00C962F1" w:rsidP="00513C5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Pozicioni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më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sipër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, u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ofrohet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fillimisht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nëpunësve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civilë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njëjtës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kategori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procedurën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e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!</w:t>
            </w:r>
          </w:p>
          <w:p w14:paraId="4206F173" w14:textId="77777777" w:rsidR="00C962F1" w:rsidRPr="00EF3860" w:rsidRDefault="00C962F1" w:rsidP="00513C5D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Vetëm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rast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përfundim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të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së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lëvizjes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paralele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rezulton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ky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pozicion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ende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vakant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, ai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është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vlefshëm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për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konkurimin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nëpërmjet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procedurës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se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pranimit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në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>shërbimin</w:t>
            </w:r>
            <w:proofErr w:type="spellEnd"/>
            <w:r w:rsidRPr="00EF3860">
              <w:rPr>
                <w:rFonts w:ascii="Times New Roman" w:eastAsia="MS Mincho" w:hAnsi="Times New Roman"/>
                <w:sz w:val="24"/>
                <w:szCs w:val="24"/>
              </w:rPr>
              <w:t xml:space="preserve"> civil. </w:t>
            </w:r>
          </w:p>
        </w:tc>
      </w:tr>
    </w:tbl>
    <w:p w14:paraId="64BD5EB3" w14:textId="77777777" w:rsidR="003F0619" w:rsidRPr="00EF3860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4C4A593D" w14:textId="13D8C628" w:rsidR="003F0619" w:rsidRPr="00EF3860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="004F53E9" w:rsidRPr="00EF3860">
        <w:rPr>
          <w:rFonts w:ascii="Times New Roman" w:eastAsia="MS Mincho" w:hAnsi="Times New Roman"/>
          <w:b/>
          <w:sz w:val="24"/>
          <w:szCs w:val="24"/>
        </w:rPr>
        <w:t>këtë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Procedur</w:t>
      </w:r>
      <w:r w:rsidR="004F53E9" w:rsidRPr="00EF3860">
        <w:rPr>
          <w:rFonts w:ascii="Times New Roman" w:eastAsia="MS Mincho" w:hAnsi="Times New Roman"/>
          <w:b/>
          <w:sz w:val="24"/>
          <w:szCs w:val="24"/>
        </w:rPr>
        <w:t>e</w:t>
      </w:r>
      <w:r w:rsidRPr="00EF3860">
        <w:rPr>
          <w:rFonts w:ascii="Times New Roman" w:eastAsia="MS Mincho" w:hAnsi="Times New Roman"/>
          <w:b/>
          <w:sz w:val="24"/>
          <w:szCs w:val="24"/>
        </w:rPr>
        <w:t xml:space="preserve"> (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lëvizje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paralele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dhe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pranim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shërbimin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civil)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aplikohet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të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njëjtën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EF3860">
        <w:rPr>
          <w:rFonts w:ascii="Times New Roman" w:eastAsia="MS Mincho" w:hAnsi="Times New Roman"/>
          <w:b/>
          <w:sz w:val="24"/>
          <w:szCs w:val="24"/>
        </w:rPr>
        <w:t>kohë</w:t>
      </w:r>
      <w:proofErr w:type="spellEnd"/>
      <w:r w:rsidRPr="00EF3860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1CE232FF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513C5D" w:rsidRPr="004F53E9" w:rsidRDefault="00513C5D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4F53E9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4F53E9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4F53E9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4F53E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513C5D" w:rsidRPr="0033199E" w:rsidRDefault="00513C5D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4F53E9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65764730" w:rsidR="00513C5D" w:rsidRPr="002D186B" w:rsidRDefault="00513C5D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CF2546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.01.2021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513C5D" w:rsidRPr="004F53E9" w:rsidRDefault="00513C5D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4F53E9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4F53E9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4F53E9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4F53E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7777777" w:rsidR="00513C5D" w:rsidRPr="00DD4A7E" w:rsidRDefault="00513C5D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0DF695B3" w:rsidR="00513C5D" w:rsidRPr="002D186B" w:rsidRDefault="00513C5D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27.01.2021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513C5D" w:rsidRPr="004F53E9" w:rsidRDefault="00513C5D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4F53E9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4F53E9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F53E9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4F53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513C5D" w:rsidRPr="0033199E" w:rsidRDefault="00513C5D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4F53E9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65764730" w:rsidR="00513C5D" w:rsidRPr="002D186B" w:rsidRDefault="00513C5D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CF2546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.01.2021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513C5D" w:rsidRPr="004F53E9" w:rsidRDefault="00513C5D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4F53E9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4F53E9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F53E9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4F53E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7777777" w:rsidR="00513C5D" w:rsidRPr="00DD4A7E" w:rsidRDefault="00513C5D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0DF695B3" w:rsidR="00513C5D" w:rsidRPr="002D186B" w:rsidRDefault="00513C5D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27.01.2021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Pr="00EF3860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p w14:paraId="160DE31C" w14:textId="77777777" w:rsidR="003F0619" w:rsidRPr="00EF3860" w:rsidRDefault="003F0619" w:rsidP="003F0619">
      <w:pPr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962F1" w:rsidRPr="00FB7B07" w14:paraId="67976D65" w14:textId="77777777" w:rsidTr="00513C5D">
        <w:tc>
          <w:tcPr>
            <w:tcW w:w="9855" w:type="dxa"/>
            <w:shd w:val="clear" w:color="auto" w:fill="C00000"/>
          </w:tcPr>
          <w:p w14:paraId="6463E6BB" w14:textId="77777777" w:rsidR="00C962F1" w:rsidRPr="00EF3860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F3860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lastRenderedPageBreak/>
              <w:br w:type="page"/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 w:rsidRPr="00EF386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</w:tbl>
    <w:p w14:paraId="4EAC711A" w14:textId="77777777" w:rsidR="00CE0780" w:rsidRDefault="00CE0780" w:rsidP="00C962F1">
      <w:pPr>
        <w:spacing w:after="0" w:line="240" w:lineRule="auto"/>
        <w:ind w:left="720"/>
        <w:jc w:val="both"/>
        <w:rPr>
          <w:lang w:val="sq-AL"/>
        </w:rPr>
      </w:pPr>
    </w:p>
    <w:p w14:paraId="7E371637" w14:textId="019AEC8B" w:rsidR="00CE0780" w:rsidRDefault="00CE0780" w:rsidP="00CE07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E0780">
        <w:rPr>
          <w:rFonts w:ascii="Times New Roman" w:hAnsi="Times New Roman"/>
          <w:sz w:val="24"/>
          <w:szCs w:val="24"/>
          <w:lang w:val="sq-AL"/>
        </w:rPr>
        <w:t xml:space="preserve">Te jete përkrahës i edukimit gjithëpërfshirës 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200D4E4F" w14:textId="2F7154AF" w:rsidR="00CE0780" w:rsidRDefault="00CE0780" w:rsidP="00CE07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Rekomandon Programe edukimi te veçanta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per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nxënësit me AK.</w:t>
      </w:r>
    </w:p>
    <w:p w14:paraId="29CA7C4B" w14:textId="781F03F1" w:rsidR="00CE0780" w:rsidRDefault="00CE0780" w:rsidP="00CE07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Ndihmon fëmijët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zhvillimin e aftësive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per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zgjidhjen e problemeve te tyre.</w:t>
      </w:r>
    </w:p>
    <w:p w14:paraId="1EF57B8A" w14:textId="6E20B725" w:rsidR="00CE0780" w:rsidRDefault="00CE0780" w:rsidP="00CE07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  <w:lang w:val="sq-AL"/>
        </w:rPr>
        <w:t>Mundeson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zhvillimin e komunikimit mes shkollës ,prindërve dhe nxënësve.</w:t>
      </w:r>
    </w:p>
    <w:p w14:paraId="7ABD0B85" w14:textId="4A9A468D" w:rsidR="00CE0780" w:rsidRPr="00CE0780" w:rsidRDefault="00CE0780" w:rsidP="00CE07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Ofron programe edukimi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per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prindërit.</w:t>
      </w:r>
    </w:p>
    <w:p w14:paraId="163D175B" w14:textId="1C8DDF2B" w:rsidR="00CE0780" w:rsidRPr="00CE0780" w:rsidRDefault="00CF2546" w:rsidP="00CF2546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CF25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Trajnohet në vazhdim për të fituar njohuri të mira në fushën e psikologjisë, grumbullon</w:t>
      </w:r>
      <w:r w:rsidR="00CE07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</w:t>
      </w:r>
      <w:r w:rsidRPr="00CF25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përvojat më të mira nga vendet partnere dhe i përcjell ato në interes të përgatitjes psikologjike</w:t>
      </w:r>
      <w:r w:rsidR="00CE07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.</w:t>
      </w:r>
    </w:p>
    <w:p w14:paraId="21DF2DA9" w14:textId="40B5B7D4" w:rsidR="00EF3860" w:rsidRPr="00CE0780" w:rsidRDefault="00CF2546" w:rsidP="00CF2546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CF25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Siguron zbatimin e rregullave të disiplinës formale dhe të punës, duke demonstruar sjellje korrekte në raportet me eprorët dhe kolegët.</w:t>
      </w:r>
    </w:p>
    <w:p w14:paraId="38F2B4E5" w14:textId="51AB6E42" w:rsidR="00CE0780" w:rsidRPr="00CE0780" w:rsidRDefault="00CE0780" w:rsidP="00CE0780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Zhvillon programe te ndryshme psikologjike parandalimi  dhe intervenimi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per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nxënësit.</w:t>
      </w:r>
    </w:p>
    <w:p w14:paraId="2ABB6281" w14:textId="09E7729B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962F1" w:rsidRPr="00637AD9" w14:paraId="02EB60F6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6AC272D2" w14:textId="629E46F3" w:rsidR="00C962F1" w:rsidRPr="002020FA" w:rsidRDefault="00CF2546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Të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zotërojnë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diplomë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të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nivelit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"Master </w:t>
      </w:r>
      <w:proofErr w:type="spellStart"/>
      <w:r w:rsidR="00CE0780" w:rsidRPr="00CE0780">
        <w:rPr>
          <w:rFonts w:ascii="Times New Roman" w:hAnsi="Times New Roman"/>
          <w:color w:val="000000"/>
          <w:shd w:val="clear" w:color="auto" w:fill="FFFFFF"/>
        </w:rPr>
        <w:t>Shkencor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>"</w:t>
      </w:r>
      <w:r w:rsidR="00CE0780" w:rsidRPr="00CE0780">
        <w:rPr>
          <w:rFonts w:ascii="Times New Roman" w:hAnsi="Times New Roman"/>
          <w:color w:val="000000"/>
          <w:shd w:val="clear" w:color="auto" w:fill="FFFFFF"/>
        </w:rPr>
        <w:t>,</w:t>
      </w:r>
      <w:r w:rsidR="00CE0780" w:rsidRPr="00CE0780">
        <w:rPr>
          <w:rFonts w:ascii="Times New Roman" w:hAnsi="Times New Roman"/>
          <w:color w:val="000000"/>
          <w:shd w:val="clear" w:color="auto" w:fill="FFFFFF"/>
        </w:rPr>
        <w:t xml:space="preserve">"Master </w:t>
      </w:r>
      <w:proofErr w:type="spellStart"/>
      <w:r w:rsidR="00CE0780">
        <w:rPr>
          <w:rFonts w:ascii="Times New Roman" w:hAnsi="Times New Roman"/>
          <w:color w:val="000000"/>
          <w:shd w:val="clear" w:color="auto" w:fill="FFFFFF"/>
        </w:rPr>
        <w:t>Profesional</w:t>
      </w:r>
      <w:proofErr w:type="spellEnd"/>
      <w:r w:rsidR="00CE0780" w:rsidRPr="00CE0780">
        <w:rPr>
          <w:rFonts w:ascii="Times New Roman" w:hAnsi="Times New Roman"/>
          <w:color w:val="000000"/>
          <w:shd w:val="clear" w:color="auto" w:fill="FFFFFF"/>
        </w:rPr>
        <w:t xml:space="preserve">", </w:t>
      </w:r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në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CE0780">
        <w:rPr>
          <w:rFonts w:ascii="Times New Roman" w:hAnsi="Times New Roman"/>
          <w:color w:val="000000"/>
          <w:shd w:val="clear" w:color="auto" w:fill="FFFFFF"/>
        </w:rPr>
        <w:t>Psikologji</w:t>
      </w:r>
      <w:proofErr w:type="spellEnd"/>
      <w:r w:rsidRPr="00CE0780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CF2546">
        <w:rPr>
          <w:rFonts w:ascii="Times New Roman" w:hAnsi="Times New Roman"/>
          <w:color w:val="000000"/>
          <w:shd w:val="clear" w:color="auto" w:fill="FFFFFF"/>
          <w:lang w:val="it-IT"/>
        </w:rPr>
        <w:t>Edhe diploma e nivelit "Bachelor" duhet të jetë në të njëjtën fushë</w:t>
      </w:r>
      <w:r w:rsidRPr="00CF2546">
        <w:rPr>
          <w:rFonts w:ascii="Helvetica" w:hAnsi="Helvetica" w:cs="Helvetica"/>
          <w:color w:val="000000"/>
          <w:shd w:val="clear" w:color="auto" w:fill="FFFFFF"/>
          <w:lang w:val="it-IT"/>
        </w:rPr>
        <w:t>;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(</w:t>
      </w:r>
      <w:r w:rsidR="00C962F1"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40BBC5DE" w14:textId="6511C491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 w:rsidR="00CF2546"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vit</w:t>
      </w:r>
      <w:r w:rsidR="00CF2546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14:paraId="7EA2BED8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C56AAF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Të zotërojnë gjuhën angleze. Përparësi ka një gjuhë e dytë e BE-së.</w:t>
      </w:r>
    </w:p>
    <w:p w14:paraId="0C9A6A7C" w14:textId="75AED314" w:rsidR="00C962F1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4EE48F64" w14:textId="6D14C6A5" w:rsidR="00CF2546" w:rsidRDefault="00CF2546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1159722" w14:textId="4453E278" w:rsidR="00CE0780" w:rsidRDefault="00CE0780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6123FDBE" w14:textId="3CCA4E4C" w:rsidR="00CE0780" w:rsidRDefault="00CE0780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382A7F25" w14:textId="77777777" w:rsidR="00CE0780" w:rsidRDefault="00CE0780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751552A3" w14:textId="77777777" w:rsidR="00CF2546" w:rsidRPr="002020FA" w:rsidRDefault="00CF2546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EF3860" w14:paraId="167B727D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2748DBCC" w14:textId="77777777" w:rsidR="00CC03B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AF1A719" w14:textId="04489ECE" w:rsidR="00C962F1" w:rsidRPr="00CC03BA" w:rsidRDefault="00C962F1" w:rsidP="00CC03B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CC03BA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43A4182A" w14:textId="02B26B88" w:rsidR="00C962F1" w:rsidRPr="00CC03BA" w:rsidRDefault="00513C5D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C03BA" w:rsidRPr="00CC03B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93FD1F0" w14:textId="3D86B1EC" w:rsidR="00C962F1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diplomë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</w:p>
    <w:p w14:paraId="391E1FCF" w14:textId="4EE6D0D4" w:rsidR="00CC03BA" w:rsidRPr="002020F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Lista e Notave e noterizuar</w:t>
      </w:r>
    </w:p>
    <w:p w14:paraId="70658D05" w14:textId="5FB045A9" w:rsidR="00C962F1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</w:t>
      </w:r>
      <w:r>
        <w:rPr>
          <w:rFonts w:ascii="Times New Roman" w:hAnsi="Times New Roman"/>
          <w:sz w:val="24"/>
          <w:szCs w:val="24"/>
          <w:lang w:val="it-IT"/>
        </w:rPr>
        <w:t xml:space="preserve"> se punes e noterizuar</w:t>
      </w:r>
    </w:p>
    <w:p w14:paraId="27861B8C" w14:textId="6D9091CC" w:rsidR="00CC03B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 Vertetim I Gjendjes Gjyqesore</w:t>
      </w:r>
    </w:p>
    <w:p w14:paraId="2CE49A73" w14:textId="3C57787B" w:rsidR="00CC03B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 Raport Mjekoligjore</w:t>
      </w:r>
    </w:p>
    <w:p w14:paraId="5EDCE0A1" w14:textId="034E64BD" w:rsidR="00CC03B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7. Vertetimi Gjykate </w:t>
      </w:r>
    </w:p>
    <w:p w14:paraId="275BF0B9" w14:textId="236E2461" w:rsidR="00CC03BA" w:rsidRDefault="00CC03BA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 Vertetim Prokurorie</w:t>
      </w:r>
    </w:p>
    <w:p w14:paraId="53765F19" w14:textId="42A3247F" w:rsidR="00CC03BA" w:rsidRPr="002020FA" w:rsidRDefault="00CE0EC6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9. </w:t>
      </w:r>
      <w:r w:rsidR="00CC03BA">
        <w:rPr>
          <w:rFonts w:ascii="Times New Roman" w:hAnsi="Times New Roman"/>
          <w:sz w:val="24"/>
          <w:szCs w:val="24"/>
          <w:lang w:val="it-IT"/>
        </w:rPr>
        <w:t>Vertetim Banimi,</w:t>
      </w:r>
      <w:r>
        <w:rPr>
          <w:rFonts w:ascii="Times New Roman" w:hAnsi="Times New Roman"/>
          <w:sz w:val="24"/>
          <w:szCs w:val="24"/>
          <w:lang w:val="it-IT"/>
        </w:rPr>
        <w:t>Çertefikate Familjare</w:t>
      </w:r>
    </w:p>
    <w:p w14:paraId="02DFF8CC" w14:textId="53DDE04C" w:rsidR="00C962F1" w:rsidRPr="002020FA" w:rsidRDefault="00CE0EC6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Çdo dokumentacion tjetër që vërteton trajnimet, kualifikimet, arsimim shtesë, vlerësimet pozitive apo të tjera të përmendura në jetëshkrimin tuaj. </w:t>
      </w:r>
    </w:p>
    <w:p w14:paraId="655866E0" w14:textId="515C777F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="00CF2546">
        <w:rPr>
          <w:rFonts w:ascii="Times New Roman" w:hAnsi="Times New Roman"/>
          <w:b/>
          <w:i/>
          <w:sz w:val="24"/>
          <w:szCs w:val="24"/>
          <w:lang w:val="it-IT"/>
        </w:rPr>
        <w:t xml:space="preserve"> 2</w:t>
      </w:r>
      <w:r w:rsidR="00CE0780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CF2546">
        <w:rPr>
          <w:rFonts w:ascii="Times New Roman" w:hAnsi="Times New Roman"/>
          <w:b/>
          <w:i/>
          <w:sz w:val="24"/>
          <w:szCs w:val="24"/>
          <w:lang w:val="it-IT"/>
        </w:rPr>
        <w:t>01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CE0EC6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CF2546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="00CE0EC6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EF3860" w14:paraId="210F90F9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786BCA22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CF2546">
        <w:rPr>
          <w:rFonts w:ascii="Times New Roman" w:hAnsi="Times New Roman"/>
          <w:i/>
          <w:sz w:val="24"/>
          <w:szCs w:val="24"/>
          <w:lang w:val="it-IT"/>
        </w:rPr>
        <w:t>22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CF2546">
        <w:rPr>
          <w:rFonts w:ascii="Times New Roman" w:hAnsi="Times New Roman"/>
          <w:i/>
          <w:sz w:val="24"/>
          <w:szCs w:val="24"/>
          <w:lang w:val="it-IT"/>
        </w:rPr>
        <w:t>01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264CB8">
        <w:rPr>
          <w:rFonts w:ascii="Times New Roman" w:hAnsi="Times New Roman"/>
          <w:i/>
          <w:sz w:val="24"/>
          <w:szCs w:val="24"/>
          <w:lang w:val="it-IT"/>
        </w:rPr>
        <w:t>2</w:t>
      </w:r>
      <w:r w:rsidR="00CF2546">
        <w:rPr>
          <w:rFonts w:ascii="Times New Roman" w:hAnsi="Times New Roman"/>
          <w:i/>
          <w:sz w:val="24"/>
          <w:szCs w:val="24"/>
          <w:lang w:val="it-IT"/>
        </w:rPr>
        <w:t>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2356D18B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55D30BFD" w14:textId="77777777" w:rsidR="00C962F1" w:rsidRPr="00DC0A20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civil</w:t>
      </w:r>
      <w:r w:rsidRPr="00DC0A2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DC0A20">
        <w:rPr>
          <w:rFonts w:ascii="Times New Roman" w:hAnsi="Times New Roman"/>
          <w:sz w:val="24"/>
          <w:szCs w:val="24"/>
        </w:rPr>
        <w:t>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ndryshuar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A20">
        <w:rPr>
          <w:rFonts w:ascii="Times New Roman" w:hAnsi="Times New Roman"/>
          <w:sz w:val="24"/>
          <w:szCs w:val="24"/>
        </w:rPr>
        <w:t>dhe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aktet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nënligjore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dalë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zbatim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tij</w:t>
      </w:r>
      <w:proofErr w:type="spellEnd"/>
      <w:r w:rsidRPr="00DC0A20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DC0A20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 w:rsidRPr="00DC0A20">
        <w:rPr>
          <w:rFonts w:ascii="Times New Roman" w:hAnsi="Times New Roman"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Vendore</w:t>
      </w:r>
      <w:proofErr w:type="spellEnd"/>
      <w:r w:rsidRPr="00DC0A20"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DC0A20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 w:rsidRPr="00DC0A20">
        <w:rPr>
          <w:rFonts w:ascii="Times New Roman" w:hAnsi="Times New Roman"/>
          <w:sz w:val="24"/>
          <w:szCs w:val="24"/>
        </w:rPr>
        <w:t>datë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08.09.2003, “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C0A20"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DC0A20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DC0A20">
        <w:rPr>
          <w:rFonts w:ascii="Times New Roman" w:hAnsi="Times New Roman"/>
          <w:sz w:val="24"/>
          <w:szCs w:val="24"/>
          <w:lang w:val="sq-AL"/>
        </w:rPr>
        <w:t>Njohuritë mbi Ligjin Nr. 119/2014, datë 08.09.2014, “</w:t>
      </w:r>
      <w:r w:rsidRPr="00DC0A20">
        <w:rPr>
          <w:rFonts w:ascii="Times New Roman" w:hAnsi="Times New Roman"/>
          <w:i/>
          <w:sz w:val="24"/>
          <w:szCs w:val="24"/>
          <w:lang w:val="sq-AL"/>
        </w:rPr>
        <w:t>Për të drejtën e informimit”</w:t>
      </w:r>
      <w:r w:rsidRPr="00DC0A20"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Pr="00DC0A20" w:rsidRDefault="00C962F1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DC0A20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 w:rsidRPr="00DC0A20">
        <w:rPr>
          <w:rFonts w:ascii="Times New Roman" w:hAnsi="Times New Roman"/>
          <w:sz w:val="24"/>
          <w:szCs w:val="24"/>
        </w:rPr>
        <w:t>”.</w:t>
      </w:r>
    </w:p>
    <w:p w14:paraId="1F6EAAA6" w14:textId="6A4F6E0B" w:rsidR="00C962F1" w:rsidRPr="00DC0A20" w:rsidRDefault="00DC0A20" w:rsidP="00C962F1">
      <w:pPr>
        <w:pStyle w:val="ListParagraph"/>
        <w:numPr>
          <w:ilvl w:val="0"/>
          <w:numId w:val="2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Njohuritë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mbi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Ligjin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nr. 40/2016, “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Për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Urdhrin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e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Psikologut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në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Republikën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e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Shqipërisë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>”;</w:t>
      </w:r>
      <w:r w:rsidRPr="00DC0A20">
        <w:rPr>
          <w:rFonts w:ascii="Times New Roman" w:hAnsi="Times New Roman"/>
          <w:color w:val="000000"/>
        </w:rPr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EF3860" w14:paraId="63DC8227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513C5D">
        <w:fldChar w:fldCharType="begin"/>
      </w:r>
      <w:r w:rsidR="00513C5D" w:rsidRPr="00EF3860">
        <w:rPr>
          <w:lang w:val="it-IT"/>
        </w:rPr>
        <w:instrText xml:space="preserve"> HYPERLINK "http://www.dap.gov.al" </w:instrText>
      </w:r>
      <w:r w:rsidR="00513C5D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513C5D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513C5D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636120CC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0340DE6" w14:textId="0805F797" w:rsidR="00CE0780" w:rsidRDefault="00CE0780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7F816D2" w14:textId="77777777" w:rsidR="00CE0780" w:rsidRPr="002020FA" w:rsidRDefault="00CE0780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EF3860" w14:paraId="20FED935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7A26B8ED" w14:textId="77777777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6F54A6" w14:textId="77777777" w:rsidTr="00513C5D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513C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782ED985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1C9C40FC" w14:textId="773E4788" w:rsidR="00DC0A20" w:rsidRPr="002020FA" w:rsidRDefault="00DC0A20" w:rsidP="00DC0A2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Të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zotërojnë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diplomë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të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nivelit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A61D3" w:rsidRPr="00AA61D3">
        <w:rPr>
          <w:rFonts w:ascii="Times New Roman" w:hAnsi="Times New Roman"/>
          <w:color w:val="000000"/>
          <w:shd w:val="clear" w:color="auto" w:fill="FFFFFF"/>
        </w:rPr>
        <w:t xml:space="preserve">“Master </w:t>
      </w:r>
      <w:proofErr w:type="spellStart"/>
      <w:r w:rsidR="00AA61D3" w:rsidRPr="00AA61D3">
        <w:rPr>
          <w:rFonts w:ascii="Times New Roman" w:hAnsi="Times New Roman"/>
          <w:color w:val="000000"/>
          <w:shd w:val="clear" w:color="auto" w:fill="FFFFFF"/>
        </w:rPr>
        <w:t>Shkencor</w:t>
      </w:r>
      <w:proofErr w:type="spellEnd"/>
      <w:r w:rsidR="00AA61D3" w:rsidRPr="00AA61D3">
        <w:rPr>
          <w:rFonts w:ascii="Times New Roman" w:hAnsi="Times New Roman"/>
          <w:color w:val="000000"/>
          <w:shd w:val="clear" w:color="auto" w:fill="FFFFFF"/>
        </w:rPr>
        <w:t xml:space="preserve">” </w:t>
      </w:r>
      <w:r w:rsidRPr="00AA61D3">
        <w:rPr>
          <w:rFonts w:ascii="Times New Roman" w:hAnsi="Times New Roman"/>
          <w:color w:val="000000"/>
          <w:shd w:val="clear" w:color="auto" w:fill="FFFFFF"/>
        </w:rPr>
        <w:t xml:space="preserve">"Master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Profesional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>"</w:t>
      </w:r>
      <w:r w:rsidRPr="00AA61D3">
        <w:rPr>
          <w:rFonts w:ascii="Times New Roman" w:hAnsi="Times New Roman"/>
          <w:color w:val="000000"/>
          <w:shd w:val="clear" w:color="auto" w:fill="FFFFFF"/>
        </w:rPr>
        <w:t xml:space="preserve">/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në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A61D3">
        <w:rPr>
          <w:rFonts w:ascii="Times New Roman" w:hAnsi="Times New Roman"/>
          <w:color w:val="000000"/>
          <w:shd w:val="clear" w:color="auto" w:fill="FFFFFF"/>
        </w:rPr>
        <w:t>Psikologji</w:t>
      </w:r>
      <w:proofErr w:type="spellEnd"/>
      <w:r w:rsidRPr="00AA61D3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CF2546">
        <w:rPr>
          <w:rFonts w:ascii="Times New Roman" w:hAnsi="Times New Roman"/>
          <w:color w:val="000000"/>
          <w:shd w:val="clear" w:color="auto" w:fill="FFFFFF"/>
          <w:lang w:val="it-IT"/>
        </w:rPr>
        <w:t>Edhe diploma e nivelit "Bachelor" duhet të jetë në të njëjtën fushë</w:t>
      </w:r>
      <w:r w:rsidRPr="00CF2546">
        <w:rPr>
          <w:rFonts w:ascii="Helvetica" w:hAnsi="Helvetica" w:cs="Helvetica"/>
          <w:color w:val="000000"/>
          <w:shd w:val="clear" w:color="auto" w:fill="FFFFFF"/>
          <w:lang w:val="it-IT"/>
        </w:rPr>
        <w:t>;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Të kenë aftësi të mira komunikuese dhe të punës në grupë.</w:t>
      </w:r>
    </w:p>
    <w:p w14:paraId="52A97E3E" w14:textId="77777777" w:rsidR="00C962F1" w:rsidRPr="00B405FF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0C32B2">
        <w:rPr>
          <w:rFonts w:ascii="Times New Roman" w:hAnsi="Times New Roman"/>
          <w:sz w:val="24"/>
          <w:szCs w:val="24"/>
          <w:lang w:val="it-IT"/>
        </w:rPr>
        <w:t>Të zotërojnë gjuhën angleze të vërtetuar me testet e njohura ndërkomb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0C32B2">
        <w:rPr>
          <w:rFonts w:ascii="Times New Roman" w:hAnsi="Times New Roman"/>
          <w:sz w:val="24"/>
          <w:szCs w:val="24"/>
          <w:lang w:val="it-IT"/>
        </w:rPr>
        <w:t>tarisht (TOEFL, IELTS ,TOEIC etj.),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C32B2">
        <w:rPr>
          <w:rFonts w:ascii="Times New Roman" w:hAnsi="Times New Roman"/>
          <w:sz w:val="24"/>
          <w:szCs w:val="24"/>
          <w:lang w:val="it-IT"/>
        </w:rPr>
        <w:t>Përparësi ka një gjuhë e dytë e BE-së.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962F1" w:rsidRPr="00EF3860" w14:paraId="7BE286CA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1CFE211C" w14:textId="77777777" w:rsidR="00761EAB" w:rsidRPr="00CC03BA" w:rsidRDefault="00761EAB" w:rsidP="00761EA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CC03BA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5C48F00F" w14:textId="77777777" w:rsidR="00761EAB" w:rsidRPr="00CC03BA" w:rsidRDefault="00513C5D" w:rsidP="00761EAB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10" w:history="1">
        <w:r w:rsidR="00761EAB" w:rsidRPr="00CC03B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752E54D3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Fotokopje të diplomë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</w:p>
    <w:p w14:paraId="0D7919A4" w14:textId="77777777" w:rsidR="00761EAB" w:rsidRPr="002020FA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Lista e Notave e noterizuar</w:t>
      </w:r>
    </w:p>
    <w:p w14:paraId="79D96D22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4.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Fotokopje të librezës</w:t>
      </w:r>
      <w:r>
        <w:rPr>
          <w:rFonts w:ascii="Times New Roman" w:hAnsi="Times New Roman"/>
          <w:sz w:val="24"/>
          <w:szCs w:val="24"/>
          <w:lang w:val="it-IT"/>
        </w:rPr>
        <w:t xml:space="preserve"> se punes e noterizuar</w:t>
      </w:r>
    </w:p>
    <w:p w14:paraId="253CB946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 Vertetim I Gjendjes Gjyqesore</w:t>
      </w:r>
    </w:p>
    <w:p w14:paraId="259C7917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 Raport Mjekoligjore</w:t>
      </w:r>
    </w:p>
    <w:p w14:paraId="7EDE25D8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7. Vertetimi Gjykate </w:t>
      </w:r>
    </w:p>
    <w:p w14:paraId="2B5EBC0B" w14:textId="77777777" w:rsidR="00761EAB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8. Vertetim Prokurorie</w:t>
      </w:r>
    </w:p>
    <w:p w14:paraId="6C60AD1D" w14:textId="77777777" w:rsidR="00761EAB" w:rsidRPr="002020FA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9. Vertetim Banimi,Çertefikate Familjare</w:t>
      </w:r>
    </w:p>
    <w:p w14:paraId="53DE1770" w14:textId="77777777" w:rsidR="00761EAB" w:rsidRPr="002020FA" w:rsidRDefault="00761EAB" w:rsidP="00761EA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10.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Çdo dokumentacion tjetër që vërteton trajnimet, kualifikimet, arsimim shtesë, vlerësimet pozitive apo të tjera të përmendura në jetëshkrimin tuaj. </w:t>
      </w:r>
    </w:p>
    <w:p w14:paraId="44A991E8" w14:textId="3390749F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="00CE0780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="00D95B3A">
        <w:rPr>
          <w:rFonts w:ascii="Times New Roman" w:hAnsi="Times New Roman"/>
          <w:b/>
          <w:i/>
          <w:sz w:val="24"/>
          <w:szCs w:val="24"/>
          <w:lang w:val="it-IT"/>
        </w:rPr>
        <w:t>27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D95B3A">
        <w:rPr>
          <w:rFonts w:ascii="Times New Roman" w:hAnsi="Times New Roman"/>
          <w:b/>
          <w:i/>
          <w:sz w:val="24"/>
          <w:szCs w:val="24"/>
          <w:lang w:val="it-IT"/>
        </w:rPr>
        <w:t>01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761EAB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D95B3A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1D757E" w14:textId="77777777" w:rsidTr="00513C5D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513C5D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EF3860" w14:paraId="761119F2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4738FF2D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 xml:space="preserve">Në datën </w:t>
      </w:r>
      <w:r w:rsidR="00D95B3A">
        <w:rPr>
          <w:rFonts w:ascii="Times New Roman" w:hAnsi="Times New Roman"/>
          <w:i/>
          <w:sz w:val="24"/>
          <w:szCs w:val="24"/>
          <w:lang w:val="it-IT"/>
        </w:rPr>
        <w:t>28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9116DC">
        <w:rPr>
          <w:rFonts w:ascii="Times New Roman" w:hAnsi="Times New Roman"/>
          <w:i/>
          <w:sz w:val="24"/>
          <w:szCs w:val="24"/>
          <w:lang w:val="it-IT"/>
        </w:rPr>
        <w:t>0</w:t>
      </w:r>
      <w:r>
        <w:rPr>
          <w:rFonts w:ascii="Times New Roman" w:hAnsi="Times New Roman"/>
          <w:i/>
          <w:sz w:val="24"/>
          <w:szCs w:val="24"/>
          <w:lang w:val="it-IT"/>
        </w:rPr>
        <w:t>1.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761EAB">
        <w:rPr>
          <w:rFonts w:ascii="Times New Roman" w:hAnsi="Times New Roman"/>
          <w:i/>
          <w:sz w:val="24"/>
          <w:szCs w:val="24"/>
          <w:lang w:val="it-IT"/>
        </w:rPr>
        <w:t>2</w:t>
      </w:r>
      <w:r w:rsidR="00D95B3A">
        <w:rPr>
          <w:rFonts w:ascii="Times New Roman" w:hAnsi="Times New Roman"/>
          <w:i/>
          <w:sz w:val="24"/>
          <w:szCs w:val="24"/>
          <w:lang w:val="it-IT"/>
        </w:rPr>
        <w:t>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3C5B94F9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408EA515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civil</w:t>
      </w:r>
      <w:r w:rsidRPr="00DC0A2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DC0A20">
        <w:rPr>
          <w:rFonts w:ascii="Times New Roman" w:hAnsi="Times New Roman"/>
          <w:sz w:val="24"/>
          <w:szCs w:val="24"/>
        </w:rPr>
        <w:t>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ndryshuar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A20">
        <w:rPr>
          <w:rFonts w:ascii="Times New Roman" w:hAnsi="Times New Roman"/>
          <w:sz w:val="24"/>
          <w:szCs w:val="24"/>
        </w:rPr>
        <w:t>dhe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aktet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nënligjore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dalë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në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zbatim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tij</w:t>
      </w:r>
      <w:proofErr w:type="spellEnd"/>
      <w:r w:rsidRPr="00DC0A20">
        <w:rPr>
          <w:rFonts w:ascii="Times New Roman" w:hAnsi="Times New Roman"/>
          <w:sz w:val="24"/>
          <w:szCs w:val="24"/>
        </w:rPr>
        <w:t>.</w:t>
      </w:r>
    </w:p>
    <w:p w14:paraId="3B5FE5FB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 w:rsidRPr="00DC0A20">
        <w:rPr>
          <w:rFonts w:ascii="Times New Roman" w:hAnsi="Times New Roman"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Vendore</w:t>
      </w:r>
      <w:proofErr w:type="spellEnd"/>
      <w:r w:rsidRPr="00DC0A20">
        <w:rPr>
          <w:rFonts w:ascii="Times New Roman" w:hAnsi="Times New Roman"/>
          <w:sz w:val="24"/>
          <w:szCs w:val="24"/>
        </w:rPr>
        <w:t>”</w:t>
      </w:r>
    </w:p>
    <w:p w14:paraId="69068F5E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 w:rsidRPr="00DC0A20">
        <w:rPr>
          <w:rFonts w:ascii="Times New Roman" w:hAnsi="Times New Roman"/>
          <w:sz w:val="24"/>
          <w:szCs w:val="24"/>
        </w:rPr>
        <w:t>datë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08.09.2003, “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C0A20">
        <w:rPr>
          <w:rFonts w:ascii="Times New Roman" w:hAnsi="Times New Roman"/>
          <w:sz w:val="24"/>
          <w:szCs w:val="24"/>
        </w:rPr>
        <w:t>”.</w:t>
      </w:r>
    </w:p>
    <w:p w14:paraId="3BB70A66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DC0A20">
        <w:rPr>
          <w:rFonts w:ascii="Times New Roman" w:hAnsi="Times New Roman"/>
          <w:sz w:val="24"/>
          <w:szCs w:val="24"/>
          <w:lang w:val="sq-AL"/>
        </w:rPr>
        <w:t>Njohuritë mbi Ligjin Nr. 119/2014, datë 08.09.2014, “</w:t>
      </w:r>
      <w:r w:rsidRPr="00DC0A20">
        <w:rPr>
          <w:rFonts w:ascii="Times New Roman" w:hAnsi="Times New Roman"/>
          <w:i/>
          <w:sz w:val="24"/>
          <w:szCs w:val="24"/>
          <w:lang w:val="sq-AL"/>
        </w:rPr>
        <w:t>Për të drejtën e informimit”</w:t>
      </w:r>
      <w:r w:rsidRPr="00DC0A20"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816D18E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sz w:val="24"/>
          <w:szCs w:val="24"/>
        </w:rPr>
        <w:t>Njohuritë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mbi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sz w:val="24"/>
          <w:szCs w:val="24"/>
        </w:rPr>
        <w:t>Ligjin</w:t>
      </w:r>
      <w:proofErr w:type="spellEnd"/>
      <w:r w:rsidRPr="00DC0A20"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DC0A20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DC0A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 w:rsidRPr="00DC0A20">
        <w:rPr>
          <w:rFonts w:ascii="Times New Roman" w:hAnsi="Times New Roman"/>
          <w:sz w:val="24"/>
          <w:szCs w:val="24"/>
        </w:rPr>
        <w:t>”.</w:t>
      </w:r>
    </w:p>
    <w:p w14:paraId="1E722102" w14:textId="77777777" w:rsidR="00D95B3A" w:rsidRPr="00DC0A20" w:rsidRDefault="00D95B3A" w:rsidP="00D95B3A">
      <w:pPr>
        <w:pStyle w:val="ListParagraph"/>
        <w:numPr>
          <w:ilvl w:val="0"/>
          <w:numId w:val="14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Njohuritë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mbi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Ligjin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nr. 40/2016, “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Për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Urdhrin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e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Psikologut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në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Republikën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 xml:space="preserve"> e </w:t>
      </w:r>
      <w:proofErr w:type="spellStart"/>
      <w:r w:rsidRPr="00DC0A20">
        <w:rPr>
          <w:rFonts w:ascii="Times New Roman" w:hAnsi="Times New Roman"/>
          <w:color w:val="000000"/>
          <w:shd w:val="clear" w:color="auto" w:fill="FFFFFF"/>
        </w:rPr>
        <w:t>Shqipërisë</w:t>
      </w:r>
      <w:proofErr w:type="spellEnd"/>
      <w:r w:rsidRPr="00DC0A20">
        <w:rPr>
          <w:rFonts w:ascii="Times New Roman" w:hAnsi="Times New Roman"/>
          <w:color w:val="000000"/>
          <w:shd w:val="clear" w:color="auto" w:fill="FFFFFF"/>
        </w:rPr>
        <w:t>”;</w:t>
      </w:r>
      <w:r w:rsidRPr="00DC0A20">
        <w:rPr>
          <w:rFonts w:ascii="Times New Roman" w:hAnsi="Times New Roman"/>
          <w:color w:val="000000"/>
        </w:rPr>
        <w:br/>
      </w:r>
    </w:p>
    <w:p w14:paraId="61834BEE" w14:textId="77777777" w:rsidR="00C962F1" w:rsidRPr="007147FD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EF3860" w14:paraId="6FC07894" w14:textId="77777777" w:rsidTr="00513C5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77777777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513C5D">
        <w:fldChar w:fldCharType="begin"/>
      </w:r>
      <w:r w:rsidR="00513C5D" w:rsidRPr="00EF3860">
        <w:rPr>
          <w:lang w:val="it-IT"/>
        </w:rPr>
        <w:instrText xml:space="preserve"> HYPERLINK "http://www.dap.gov.al" </w:instrText>
      </w:r>
      <w:r w:rsidR="00513C5D">
        <w:fldChar w:fldCharType="separate"/>
      </w:r>
      <w:r>
        <w:rPr>
          <w:rStyle w:val="Hyperlink"/>
          <w:rFonts w:ascii="Times New Roman" w:hAnsi="Times New Roman"/>
          <w:sz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lang w:val="it-IT"/>
        </w:rPr>
        <w:t>.dap.gov.al</w:t>
      </w:r>
      <w:r w:rsidR="00513C5D">
        <w:rPr>
          <w:rStyle w:val="Hyperlink"/>
          <w:rFonts w:ascii="Times New Roman" w:hAnsi="Times New Roman"/>
          <w:sz w:val="24"/>
          <w:lang w:val="it-IT"/>
        </w:rPr>
        <w:fldChar w:fldCharType="end"/>
      </w:r>
    </w:p>
    <w:p w14:paraId="4C332DF9" w14:textId="32B7B70E" w:rsidR="00C962F1" w:rsidRPr="00CE0780" w:rsidRDefault="00513C5D" w:rsidP="00CE0780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</w:p>
    <w:p w14:paraId="1148D8D4" w14:textId="32B2E807" w:rsidR="00B86BFE" w:rsidRDefault="00B86BFE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47C1210" w14:textId="76CDA828" w:rsidR="00B86BFE" w:rsidRDefault="00B86BFE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AB8F726" w14:textId="34EE46F2" w:rsidR="00B86BFE" w:rsidRDefault="00B86BFE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4247919" w14:textId="77777777" w:rsidR="00B86BFE" w:rsidRPr="002020FA" w:rsidRDefault="00B86BFE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EF3860" w14:paraId="784A7881" w14:textId="77777777" w:rsidTr="00513C5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51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51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4F53E9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4F53E9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4F53E9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1C35638E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9116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116DC">
        <w:rPr>
          <w:rFonts w:ascii="Times New Roman" w:hAnsi="Times New Roman" w:cs="Times New Roman"/>
          <w:b/>
          <w:sz w:val="24"/>
          <w:szCs w:val="24"/>
        </w:rPr>
        <w:t>01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761EAB">
        <w:rPr>
          <w:rFonts w:ascii="Times New Roman" w:hAnsi="Times New Roman" w:cs="Times New Roman"/>
          <w:b/>
          <w:sz w:val="24"/>
          <w:szCs w:val="24"/>
        </w:rPr>
        <w:t>2</w:t>
      </w:r>
      <w:r w:rsidR="009116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12DE448A" w14:textId="77777777" w:rsidR="00CE0780" w:rsidRDefault="00CE0780" w:rsidP="007C442A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B25B5E" w14:textId="47D6B4AE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5D22DE4B" w14:textId="77777777" w:rsidR="00C962F1" w:rsidRDefault="00C962F1" w:rsidP="00C962F1">
      <w:pPr>
        <w:rPr>
          <w:rFonts w:ascii="Times New Roman" w:hAnsi="Times New Roman" w:cs="Times New Roman"/>
          <w:sz w:val="24"/>
          <w:szCs w:val="24"/>
        </w:rPr>
      </w:pPr>
    </w:p>
    <w:p w14:paraId="1DB6BC90" w14:textId="77777777" w:rsidR="00C962F1" w:rsidRDefault="00C962F1" w:rsidP="00C962F1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883163" w14:textId="77777777" w:rsidR="0099499F" w:rsidRDefault="0099499F"/>
    <w:sectPr w:rsidR="009949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BEA9" w14:textId="77777777" w:rsidR="009103B4" w:rsidRDefault="009103B4" w:rsidP="00C962F1">
      <w:pPr>
        <w:spacing w:after="0" w:line="240" w:lineRule="auto"/>
      </w:pPr>
      <w:r>
        <w:separator/>
      </w:r>
    </w:p>
  </w:endnote>
  <w:endnote w:type="continuationSeparator" w:id="0">
    <w:p w14:paraId="28E157B1" w14:textId="77777777" w:rsidR="009103B4" w:rsidRDefault="009103B4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E419" w14:textId="7848434D" w:rsidR="00513C5D" w:rsidRPr="004F53E9" w:rsidRDefault="00513C5D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3E9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3E9">
        <w:rPr>
          <w:rStyle w:val="Hyperlink"/>
          <w:sz w:val="18"/>
          <w:szCs w:val="18"/>
          <w:lang w:val="it-IT"/>
        </w:rPr>
        <w:t>bashkiakamez@gmail.com</w:t>
      </w:r>
    </w:hyperlink>
    <w:r w:rsidRPr="004F53E9">
      <w:rPr>
        <w:sz w:val="18"/>
        <w:szCs w:val="18"/>
        <w:lang w:val="it-IT"/>
      </w:rPr>
      <w:t>, web: www.kamza.gov.al</w:t>
    </w:r>
  </w:p>
  <w:p w14:paraId="63AD7E8B" w14:textId="77777777" w:rsidR="00513C5D" w:rsidRPr="004F53E9" w:rsidRDefault="00513C5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1CFE" w14:textId="77777777" w:rsidR="009103B4" w:rsidRDefault="009103B4" w:rsidP="00C962F1">
      <w:pPr>
        <w:spacing w:after="0" w:line="240" w:lineRule="auto"/>
      </w:pPr>
      <w:r>
        <w:separator/>
      </w:r>
    </w:p>
  </w:footnote>
  <w:footnote w:type="continuationSeparator" w:id="0">
    <w:p w14:paraId="3937090E" w14:textId="77777777" w:rsidR="009103B4" w:rsidRDefault="009103B4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6773F"/>
    <w:multiLevelType w:val="hybridMultilevel"/>
    <w:tmpl w:val="CF98AB8A"/>
    <w:lvl w:ilvl="0" w:tplc="BEB6F67E">
      <w:start w:val="1"/>
      <w:numFmt w:val="decimal"/>
      <w:lvlText w:val="%1."/>
      <w:lvlJc w:val="left"/>
      <w:pPr>
        <w:ind w:left="270" w:hanging="360"/>
      </w:pPr>
      <w:rPr>
        <w:rFonts w:cs="Times New Roman" w:hint="default"/>
        <w:b w:val="0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70A7C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43656"/>
    <w:multiLevelType w:val="hybridMultilevel"/>
    <w:tmpl w:val="D43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04FA6"/>
    <w:multiLevelType w:val="hybridMultilevel"/>
    <w:tmpl w:val="D43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5"/>
    <w:rsid w:val="00264CB8"/>
    <w:rsid w:val="003176E2"/>
    <w:rsid w:val="00326699"/>
    <w:rsid w:val="00371915"/>
    <w:rsid w:val="003D3E5D"/>
    <w:rsid w:val="003F0619"/>
    <w:rsid w:val="004B45A9"/>
    <w:rsid w:val="004F53E9"/>
    <w:rsid w:val="00513C5D"/>
    <w:rsid w:val="006F5C07"/>
    <w:rsid w:val="007608BE"/>
    <w:rsid w:val="00761EAB"/>
    <w:rsid w:val="007C442A"/>
    <w:rsid w:val="00884761"/>
    <w:rsid w:val="008C1E24"/>
    <w:rsid w:val="009103B4"/>
    <w:rsid w:val="009116DC"/>
    <w:rsid w:val="0099499F"/>
    <w:rsid w:val="009A577F"/>
    <w:rsid w:val="009D7BBA"/>
    <w:rsid w:val="00AA61D3"/>
    <w:rsid w:val="00AC1BAA"/>
    <w:rsid w:val="00B17094"/>
    <w:rsid w:val="00B2348F"/>
    <w:rsid w:val="00B86BFE"/>
    <w:rsid w:val="00BD5257"/>
    <w:rsid w:val="00C962F1"/>
    <w:rsid w:val="00CC03BA"/>
    <w:rsid w:val="00CE0780"/>
    <w:rsid w:val="00CE0EC6"/>
    <w:rsid w:val="00CF2546"/>
    <w:rsid w:val="00D01E73"/>
    <w:rsid w:val="00D04B63"/>
    <w:rsid w:val="00D93B70"/>
    <w:rsid w:val="00D95B3A"/>
    <w:rsid w:val="00DB30B5"/>
    <w:rsid w:val="00DC0A20"/>
    <w:rsid w:val="00EF3860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  <w15:chartTrackingRefBased/>
  <w15:docId w15:val="{2F2A5B67-43E5-46A0-9262-7D2E2F9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C03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5D"/>
    <w:rPr>
      <w:rFonts w:ascii="Segoe UI" w:eastAsiaTheme="minorEastAsia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F3860"/>
    <w:rPr>
      <w:rFonts w:ascii="Times New Roman" w:hAnsi="Times New Roman" w:cs="Times New Roman" w:hint="default"/>
      <w:b w:val="0"/>
      <w:bCs w:val="0"/>
      <w:i w:val="0"/>
      <w:iCs w:val="0"/>
      <w:color w:val="05050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88</cp:revision>
  <cp:lastPrinted>2020-11-23T10:00:00Z</cp:lastPrinted>
  <dcterms:created xsi:type="dcterms:W3CDTF">2019-09-11T11:34:00Z</dcterms:created>
  <dcterms:modified xsi:type="dcterms:W3CDTF">2021-01-13T15:10:00Z</dcterms:modified>
</cp:coreProperties>
</file>