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C" w:rsidRDefault="00ED1894" w:rsidP="0067318E">
      <w:pPr>
        <w:pBdr>
          <w:bottom w:val="single" w:sz="12" w:space="1" w:color="auto"/>
        </w:pBd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2630068</wp:posOffset>
            </wp:positionH>
            <wp:positionV relativeFrom="margin">
              <wp:posOffset>-321869</wp:posOffset>
            </wp:positionV>
            <wp:extent cx="593497" cy="950061"/>
            <wp:effectExtent l="19050" t="0" r="0" b="0"/>
            <wp:wrapNone/>
            <wp:docPr id="1" name="Picture 3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9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18E" w:rsidRPr="000A2AFB" w:rsidRDefault="0067318E" w:rsidP="0067318E">
      <w:pPr>
        <w:pBdr>
          <w:bottom w:val="single" w:sz="12" w:space="1" w:color="auto"/>
        </w:pBd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67318E" w:rsidRPr="00AD116C" w:rsidRDefault="0067318E" w:rsidP="00AD116C">
      <w:pPr>
        <w:jc w:val="center"/>
        <w:rPr>
          <w:rFonts w:eastAsiaTheme="minorEastAsia"/>
          <w:b/>
          <w:lang w:val="en-US"/>
        </w:rPr>
      </w:pPr>
      <w:r w:rsidRPr="00AD116C">
        <w:rPr>
          <w:rFonts w:eastAsiaTheme="minorEastAsia"/>
          <w:b/>
          <w:lang w:val="en-US"/>
        </w:rPr>
        <w:t>R E P U B L I K A   E   S H Q I P Ë R I S Ë</w:t>
      </w:r>
    </w:p>
    <w:p w:rsidR="0067318E" w:rsidRDefault="0067318E" w:rsidP="00AD116C">
      <w:pPr>
        <w:jc w:val="center"/>
        <w:rPr>
          <w:rFonts w:eastAsiaTheme="minorEastAsia"/>
          <w:b/>
          <w:sz w:val="28"/>
          <w:lang w:val="en-US"/>
        </w:rPr>
      </w:pPr>
      <w:r w:rsidRPr="00AD116C">
        <w:rPr>
          <w:rFonts w:eastAsiaTheme="minorEastAsia"/>
          <w:b/>
          <w:sz w:val="28"/>
          <w:lang w:val="en-US"/>
        </w:rPr>
        <w:t>BASHKIA KAMËZ</w:t>
      </w:r>
    </w:p>
    <w:p w:rsidR="00D12D39" w:rsidRDefault="00D12D39" w:rsidP="00AD116C">
      <w:pPr>
        <w:jc w:val="center"/>
        <w:rPr>
          <w:rFonts w:eastAsiaTheme="minorEastAsia"/>
          <w:b/>
          <w:sz w:val="28"/>
          <w:lang w:val="en-US"/>
        </w:rPr>
      </w:pPr>
      <w:r>
        <w:rPr>
          <w:rFonts w:eastAsiaTheme="minorEastAsia"/>
          <w:b/>
          <w:sz w:val="28"/>
          <w:lang w:val="en-US"/>
        </w:rPr>
        <w:t>Drejtoria PKZHT-së</w:t>
      </w:r>
    </w:p>
    <w:p w:rsidR="004C579D" w:rsidRPr="00AD116C" w:rsidRDefault="004C579D" w:rsidP="00AD116C">
      <w:pPr>
        <w:jc w:val="center"/>
        <w:rPr>
          <w:rFonts w:eastAsiaTheme="minorEastAsia"/>
          <w:b/>
          <w:sz w:val="28"/>
          <w:lang w:val="en-US"/>
        </w:rPr>
      </w:pPr>
    </w:p>
    <w:p w:rsidR="0067318E" w:rsidRPr="00AD116C" w:rsidRDefault="002D5379" w:rsidP="00AD116C">
      <w:pPr>
        <w:jc w:val="center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Nr.594/1</w:t>
      </w:r>
      <w:r w:rsidR="0067318E" w:rsidRPr="00AD116C">
        <w:rPr>
          <w:rFonts w:eastAsiaTheme="minorEastAsia"/>
          <w:b/>
          <w:lang w:val="en-US"/>
        </w:rPr>
        <w:t>prot.</w:t>
      </w:r>
      <w:r w:rsidR="00C24D97">
        <w:rPr>
          <w:rFonts w:eastAsiaTheme="minorEastAsia"/>
          <w:b/>
          <w:lang w:val="en-US"/>
        </w:rPr>
        <w:tab/>
      </w:r>
      <w:r w:rsidR="00C24D97">
        <w:rPr>
          <w:rFonts w:eastAsiaTheme="minorEastAsia"/>
          <w:b/>
          <w:lang w:val="en-US"/>
        </w:rPr>
        <w:tab/>
      </w:r>
      <w:r w:rsidR="00C24D97">
        <w:rPr>
          <w:rFonts w:eastAsiaTheme="minorEastAsia"/>
          <w:b/>
          <w:lang w:val="en-US"/>
        </w:rPr>
        <w:tab/>
      </w:r>
      <w:r w:rsidR="00C24D97">
        <w:rPr>
          <w:rFonts w:eastAsiaTheme="minorEastAsia"/>
          <w:b/>
          <w:lang w:val="en-US"/>
        </w:rPr>
        <w:tab/>
      </w:r>
      <w:r w:rsidR="00C24D97">
        <w:rPr>
          <w:rFonts w:eastAsiaTheme="minorEastAsia"/>
          <w:b/>
          <w:lang w:val="en-US"/>
        </w:rPr>
        <w:tab/>
      </w:r>
      <w:r w:rsidR="00C24D97">
        <w:rPr>
          <w:rFonts w:eastAsiaTheme="minorEastAsia"/>
          <w:b/>
          <w:lang w:val="en-US"/>
        </w:rPr>
        <w:tab/>
      </w:r>
      <w:r w:rsidR="00C24D97">
        <w:rPr>
          <w:rFonts w:eastAsiaTheme="minorEastAsia"/>
          <w:b/>
          <w:lang w:val="en-US"/>
        </w:rPr>
        <w:tab/>
        <w:t xml:space="preserve">               Kamëz, më</w:t>
      </w:r>
      <w:r>
        <w:rPr>
          <w:rFonts w:eastAsiaTheme="minorEastAsia"/>
          <w:b/>
          <w:color w:val="000000" w:themeColor="text1"/>
          <w:lang w:val="en-US"/>
        </w:rPr>
        <w:t xml:space="preserve"> 8</w:t>
      </w:r>
      <w:r w:rsidR="0067318E" w:rsidRPr="00C24D97">
        <w:rPr>
          <w:rFonts w:eastAsiaTheme="minorEastAsia"/>
          <w:b/>
          <w:color w:val="000000" w:themeColor="text1"/>
          <w:lang w:val="en-US"/>
        </w:rPr>
        <w:t>.</w:t>
      </w:r>
      <w:r>
        <w:rPr>
          <w:rFonts w:eastAsiaTheme="minorEastAsia"/>
          <w:b/>
          <w:color w:val="000000" w:themeColor="text1"/>
          <w:lang w:val="en-US"/>
        </w:rPr>
        <w:t>11.</w:t>
      </w:r>
      <w:r w:rsidR="00ED1894">
        <w:rPr>
          <w:rFonts w:eastAsiaTheme="minorEastAsia"/>
          <w:b/>
          <w:lang w:val="en-US"/>
        </w:rPr>
        <w:t>2019</w:t>
      </w:r>
    </w:p>
    <w:p w:rsidR="000632C6" w:rsidRDefault="005F66B7" w:rsidP="005F66B7">
      <w:pPr>
        <w:tabs>
          <w:tab w:val="left" w:pos="311"/>
          <w:tab w:val="center" w:pos="4637"/>
        </w:tabs>
        <w:rPr>
          <w:b/>
          <w:color w:val="000000" w:themeColor="text1"/>
          <w:sz w:val="28"/>
          <w:szCs w:val="28"/>
          <w:lang w:val="it-IT"/>
        </w:rPr>
      </w:pPr>
      <w:r>
        <w:rPr>
          <w:b/>
          <w:color w:val="000000" w:themeColor="text1"/>
          <w:sz w:val="28"/>
          <w:szCs w:val="28"/>
          <w:lang w:val="it-IT"/>
        </w:rPr>
        <w:tab/>
      </w:r>
    </w:p>
    <w:p w:rsidR="000632C6" w:rsidRDefault="000632C6" w:rsidP="005F66B7">
      <w:pPr>
        <w:tabs>
          <w:tab w:val="left" w:pos="311"/>
          <w:tab w:val="center" w:pos="4637"/>
        </w:tabs>
        <w:rPr>
          <w:b/>
          <w:color w:val="000000" w:themeColor="text1"/>
          <w:sz w:val="28"/>
          <w:szCs w:val="28"/>
          <w:lang w:val="it-IT"/>
        </w:rPr>
      </w:pPr>
    </w:p>
    <w:p w:rsidR="002D5379" w:rsidRPr="002D5379" w:rsidRDefault="005F66B7" w:rsidP="005F66B7">
      <w:pPr>
        <w:tabs>
          <w:tab w:val="left" w:pos="311"/>
          <w:tab w:val="center" w:pos="4637"/>
        </w:tabs>
        <w:rPr>
          <w:color w:val="000000" w:themeColor="text1"/>
          <w:lang w:val="it-IT"/>
        </w:rPr>
      </w:pPr>
      <w:r w:rsidRPr="002D5379">
        <w:rPr>
          <w:b/>
          <w:color w:val="000000" w:themeColor="text1"/>
          <w:lang w:val="it-IT"/>
        </w:rPr>
        <w:t>Lënda</w:t>
      </w:r>
      <w:r w:rsidRPr="002D5379">
        <w:rPr>
          <w:color w:val="000000" w:themeColor="text1"/>
          <w:lang w:val="it-IT"/>
        </w:rPr>
        <w:t>:</w:t>
      </w:r>
      <w:r w:rsidR="000632C6" w:rsidRPr="002D5379">
        <w:rPr>
          <w:color w:val="000000" w:themeColor="text1"/>
          <w:lang w:val="it-IT"/>
        </w:rPr>
        <w:t xml:space="preserve"> </w:t>
      </w:r>
      <w:r w:rsidR="002D5379" w:rsidRPr="002D5379">
        <w:rPr>
          <w:color w:val="000000" w:themeColor="text1"/>
          <w:lang w:val="it-IT"/>
        </w:rPr>
        <w:t>Kthim përgjigje Urdhërit Nr.594 prot, datë 25.10.2019</w:t>
      </w:r>
    </w:p>
    <w:p w:rsidR="000632C6" w:rsidRPr="002D5379" w:rsidRDefault="002D5379" w:rsidP="005F66B7">
      <w:pPr>
        <w:tabs>
          <w:tab w:val="left" w:pos="311"/>
          <w:tab w:val="center" w:pos="4637"/>
        </w:tabs>
        <w:rPr>
          <w:color w:val="000000" w:themeColor="text1"/>
          <w:lang w:val="it-IT"/>
        </w:rPr>
      </w:pPr>
      <w:r w:rsidRPr="002D5379">
        <w:rPr>
          <w:color w:val="000000" w:themeColor="text1"/>
          <w:lang w:val="it-IT"/>
        </w:rPr>
        <w:t xml:space="preserve">            </w:t>
      </w:r>
      <w:r>
        <w:rPr>
          <w:color w:val="000000" w:themeColor="text1"/>
          <w:lang w:val="it-IT"/>
        </w:rPr>
        <w:t xml:space="preserve"> </w:t>
      </w:r>
      <w:r w:rsidRPr="002D5379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>P</w:t>
      </w:r>
      <w:r w:rsidR="005F66B7" w:rsidRPr="002D5379">
        <w:rPr>
          <w:color w:val="000000" w:themeColor="text1"/>
          <w:lang w:val="it-IT"/>
        </w:rPr>
        <w:t>ër paketën fiskale për  Drejtorinë PKZHT-së</w:t>
      </w:r>
    </w:p>
    <w:p w:rsidR="00C30495" w:rsidRPr="002D5379" w:rsidRDefault="00C30495" w:rsidP="005F66B7">
      <w:pPr>
        <w:tabs>
          <w:tab w:val="left" w:pos="311"/>
          <w:tab w:val="center" w:pos="4637"/>
        </w:tabs>
        <w:rPr>
          <w:color w:val="000000" w:themeColor="text1"/>
          <w:lang w:val="it-IT"/>
        </w:rPr>
      </w:pPr>
    </w:p>
    <w:p w:rsidR="00D17882" w:rsidRPr="002D5379" w:rsidRDefault="00C30495" w:rsidP="005F66B7">
      <w:pPr>
        <w:tabs>
          <w:tab w:val="left" w:pos="311"/>
          <w:tab w:val="center" w:pos="4637"/>
        </w:tabs>
        <w:rPr>
          <w:color w:val="000000" w:themeColor="text1"/>
          <w:lang w:val="it-IT"/>
        </w:rPr>
      </w:pPr>
      <w:r w:rsidRPr="002D5379">
        <w:rPr>
          <w:color w:val="000000" w:themeColor="text1"/>
          <w:lang w:val="it-IT"/>
        </w:rPr>
        <w:t xml:space="preserve"> </w:t>
      </w:r>
      <w:r w:rsidR="000632C6" w:rsidRPr="002D5379">
        <w:rPr>
          <w:color w:val="000000" w:themeColor="text1"/>
          <w:lang w:val="it-IT"/>
        </w:rPr>
        <w:t xml:space="preserve">    </w:t>
      </w:r>
      <w:r w:rsidR="002D5379">
        <w:rPr>
          <w:color w:val="000000" w:themeColor="text1"/>
          <w:lang w:val="it-IT"/>
        </w:rPr>
        <w:t xml:space="preserve">                     Drejtorisë</w:t>
      </w:r>
      <w:r w:rsidRPr="002D5379">
        <w:rPr>
          <w:color w:val="000000" w:themeColor="text1"/>
          <w:lang w:val="it-IT"/>
        </w:rPr>
        <w:t xml:space="preserve"> </w:t>
      </w:r>
      <w:r w:rsidR="002D5379">
        <w:rPr>
          <w:color w:val="000000" w:themeColor="text1"/>
          <w:lang w:val="it-IT"/>
        </w:rPr>
        <w:t xml:space="preserve"> së</w:t>
      </w:r>
      <w:r w:rsidRPr="002D5379">
        <w:rPr>
          <w:color w:val="000000" w:themeColor="text1"/>
          <w:lang w:val="it-IT"/>
        </w:rPr>
        <w:t xml:space="preserve"> Taksave dhe Tarifave Vendore, Kamëz</w:t>
      </w:r>
    </w:p>
    <w:p w:rsidR="00D17882" w:rsidRPr="006D6907" w:rsidRDefault="00D17882" w:rsidP="0067318E">
      <w:pPr>
        <w:jc w:val="center"/>
        <w:rPr>
          <w:b/>
          <w:color w:val="000000" w:themeColor="text1"/>
          <w:sz w:val="20"/>
          <w:szCs w:val="20"/>
          <w:lang w:val="it-IT"/>
        </w:rPr>
      </w:pPr>
    </w:p>
    <w:p w:rsidR="00A621F8" w:rsidRDefault="005F66B7" w:rsidP="00F47F8B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lang w:val="it-IT"/>
        </w:rPr>
      </w:pPr>
      <w:r>
        <w:rPr>
          <w:color w:val="000000" w:themeColor="text1"/>
        </w:rPr>
        <w:t>M</w:t>
      </w:r>
      <w:r w:rsidRPr="00023E7B">
        <w:rPr>
          <w:color w:val="000000" w:themeColor="text1"/>
        </w:rPr>
        <w:t>bësh</w:t>
      </w:r>
      <w:r>
        <w:rPr>
          <w:color w:val="000000" w:themeColor="text1"/>
        </w:rPr>
        <w:t>tetur</w:t>
      </w:r>
      <w:r w:rsidRPr="00023E7B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Pr="00023E7B">
        <w:rPr>
          <w:color w:val="000000" w:themeColor="text1"/>
        </w:rPr>
        <w:t xml:space="preserve">ë </w:t>
      </w:r>
      <w:r>
        <w:rPr>
          <w:color w:val="000000" w:themeColor="text1"/>
        </w:rPr>
        <w:t>nenin 54 të</w:t>
      </w:r>
      <w:r w:rsidRPr="00023E7B">
        <w:rPr>
          <w:color w:val="000000" w:themeColor="text1"/>
        </w:rPr>
        <w:t xml:space="preserve"> Ligjit</w:t>
      </w:r>
      <w:r>
        <w:rPr>
          <w:color w:val="000000" w:themeColor="text1"/>
        </w:rPr>
        <w:t xml:space="preserve"> nr.139/2015 </w:t>
      </w:r>
      <w:r w:rsidRPr="00023E7B">
        <w:rPr>
          <w:color w:val="000000" w:themeColor="text1"/>
        </w:rPr>
        <w:t>"</w:t>
      </w:r>
      <w:r>
        <w:rPr>
          <w:color w:val="000000" w:themeColor="text1"/>
        </w:rPr>
        <w:t xml:space="preserve">Për </w:t>
      </w:r>
      <w:r w:rsidRPr="00023E7B">
        <w:rPr>
          <w:color w:val="000000" w:themeColor="text1"/>
        </w:rPr>
        <w:t>Vetëqeverisjen</w:t>
      </w:r>
      <w:r>
        <w:rPr>
          <w:color w:val="000000" w:themeColor="text1"/>
        </w:rPr>
        <w:t xml:space="preserve"> </w:t>
      </w:r>
      <w:r w:rsidRPr="00023E7B">
        <w:rPr>
          <w:color w:val="000000" w:themeColor="text1"/>
        </w:rPr>
        <w:t>Vendore";</w:t>
      </w:r>
      <w:r>
        <w:rPr>
          <w:color w:val="000000" w:themeColor="text1"/>
        </w:rPr>
        <w:t xml:space="preserve"> </w:t>
      </w:r>
      <w:r w:rsidRPr="00023E7B">
        <w:rPr>
          <w:color w:val="000000" w:themeColor="text1"/>
        </w:rPr>
        <w:t>Ligji</w:t>
      </w:r>
      <w:r>
        <w:rPr>
          <w:color w:val="000000" w:themeColor="text1"/>
        </w:rPr>
        <w:t xml:space="preserve">n </w:t>
      </w:r>
      <w:r w:rsidRPr="00023E7B">
        <w:rPr>
          <w:color w:val="000000" w:themeColor="text1"/>
        </w:rPr>
        <w:t>nr. 9632,</w:t>
      </w:r>
      <w:r>
        <w:rPr>
          <w:color w:val="000000" w:themeColor="text1"/>
        </w:rPr>
        <w:t xml:space="preserve"> </w:t>
      </w:r>
      <w:r w:rsidRPr="00023E7B">
        <w:rPr>
          <w:color w:val="000000" w:themeColor="text1"/>
        </w:rPr>
        <w:t>da</w:t>
      </w:r>
      <w:r>
        <w:rPr>
          <w:color w:val="000000" w:themeColor="text1"/>
        </w:rPr>
        <w:t>të</w:t>
      </w:r>
      <w:r w:rsidRPr="00023E7B">
        <w:rPr>
          <w:color w:val="000000" w:themeColor="text1"/>
        </w:rPr>
        <w:t xml:space="preserve"> 30.10.2006,”</w:t>
      </w:r>
      <w:r>
        <w:rPr>
          <w:color w:val="000000" w:themeColor="text1"/>
        </w:rPr>
        <w:t xml:space="preserve"> </w:t>
      </w:r>
      <w:r w:rsidRPr="00023E7B">
        <w:rPr>
          <w:color w:val="000000" w:themeColor="text1"/>
        </w:rPr>
        <w:t>"</w:t>
      </w:r>
      <w:r>
        <w:rPr>
          <w:color w:val="000000" w:themeColor="text1"/>
        </w:rPr>
        <w:t>Për</w:t>
      </w:r>
      <w:r w:rsidRPr="00023E7B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023E7B">
        <w:rPr>
          <w:color w:val="000000" w:themeColor="text1"/>
        </w:rPr>
        <w:t>is</w:t>
      </w:r>
      <w:r>
        <w:rPr>
          <w:color w:val="000000" w:themeColor="text1"/>
        </w:rPr>
        <w:t>te</w:t>
      </w:r>
      <w:r w:rsidRPr="00023E7B">
        <w:rPr>
          <w:color w:val="000000" w:themeColor="text1"/>
        </w:rPr>
        <w:t>min</w:t>
      </w:r>
      <w:r>
        <w:rPr>
          <w:color w:val="000000" w:themeColor="text1"/>
        </w:rPr>
        <w:t xml:space="preserve"> </w:t>
      </w:r>
      <w:r w:rsidRPr="00023E7B">
        <w:rPr>
          <w:color w:val="000000" w:themeColor="text1"/>
        </w:rPr>
        <w:t xml:space="preserve">e </w:t>
      </w:r>
      <w:r>
        <w:rPr>
          <w:color w:val="000000" w:themeColor="text1"/>
        </w:rPr>
        <w:t>T</w:t>
      </w:r>
      <w:r w:rsidRPr="00023E7B">
        <w:rPr>
          <w:color w:val="000000" w:themeColor="text1"/>
        </w:rPr>
        <w:t>aksave</w:t>
      </w:r>
      <w:r>
        <w:rPr>
          <w:color w:val="000000" w:themeColor="text1"/>
        </w:rPr>
        <w:t xml:space="preserve"> V</w:t>
      </w:r>
      <w:r w:rsidRPr="00023E7B">
        <w:rPr>
          <w:color w:val="000000" w:themeColor="text1"/>
        </w:rPr>
        <w:t>endore"</w:t>
      </w:r>
      <w:r>
        <w:rPr>
          <w:color w:val="000000" w:themeColor="text1"/>
        </w:rPr>
        <w:t xml:space="preserve"> </w:t>
      </w:r>
      <w:r w:rsidRPr="00023E7B">
        <w:rPr>
          <w:color w:val="000000" w:themeColor="text1"/>
        </w:rPr>
        <w:t xml:space="preserve">i ndryshuar, </w:t>
      </w:r>
      <w:r w:rsidRPr="004A33E8">
        <w:rPr>
          <w:color w:val="000000" w:themeColor="text1"/>
        </w:rPr>
        <w:t xml:space="preserve">"Për </w:t>
      </w:r>
      <w:r>
        <w:rPr>
          <w:color w:val="000000" w:themeColor="text1"/>
        </w:rPr>
        <w:t>N</w:t>
      </w:r>
      <w:r w:rsidRPr="004A33E8">
        <w:rPr>
          <w:color w:val="000000" w:themeColor="text1"/>
        </w:rPr>
        <w:t xml:space="preserve">darjen </w:t>
      </w:r>
      <w:r>
        <w:rPr>
          <w:color w:val="000000" w:themeColor="text1"/>
        </w:rPr>
        <w:t>A</w:t>
      </w:r>
      <w:r w:rsidRPr="004A33E8">
        <w:rPr>
          <w:color w:val="000000" w:themeColor="text1"/>
        </w:rPr>
        <w:t xml:space="preserve">dministrative </w:t>
      </w:r>
      <w:r>
        <w:rPr>
          <w:color w:val="000000" w:themeColor="text1"/>
        </w:rPr>
        <w:t>Te</w:t>
      </w:r>
      <w:r w:rsidRPr="004A33E8">
        <w:rPr>
          <w:color w:val="000000" w:themeColor="text1"/>
        </w:rPr>
        <w:t xml:space="preserve">rritoriale të </w:t>
      </w:r>
      <w:r>
        <w:rPr>
          <w:color w:val="000000" w:themeColor="text1"/>
        </w:rPr>
        <w:t>N</w:t>
      </w:r>
      <w:r w:rsidRPr="004A33E8">
        <w:rPr>
          <w:color w:val="000000" w:themeColor="text1"/>
        </w:rPr>
        <w:t xml:space="preserve">jësive të </w:t>
      </w:r>
      <w:r>
        <w:rPr>
          <w:color w:val="000000" w:themeColor="text1"/>
        </w:rPr>
        <w:t>Q</w:t>
      </w:r>
      <w:r w:rsidRPr="004A33E8">
        <w:rPr>
          <w:color w:val="000000" w:themeColor="text1"/>
        </w:rPr>
        <w:t xml:space="preserve">everisjes </w:t>
      </w:r>
      <w:r>
        <w:rPr>
          <w:color w:val="000000" w:themeColor="text1"/>
        </w:rPr>
        <w:t>V</w:t>
      </w:r>
      <w:r w:rsidRPr="004A33E8">
        <w:rPr>
          <w:color w:val="000000" w:themeColor="text1"/>
        </w:rPr>
        <w:t>endore në Republikën e Shqi</w:t>
      </w:r>
      <w:r>
        <w:rPr>
          <w:color w:val="000000" w:themeColor="text1"/>
        </w:rPr>
        <w:t>p</w:t>
      </w:r>
      <w:r w:rsidRPr="004A33E8">
        <w:rPr>
          <w:color w:val="000000" w:themeColor="text1"/>
        </w:rPr>
        <w:t>ërisë"</w:t>
      </w:r>
      <w:r>
        <w:rPr>
          <w:color w:val="000000" w:themeColor="text1"/>
        </w:rPr>
        <w:t xml:space="preserve">, </w:t>
      </w:r>
      <w:r w:rsidRPr="004A33E8">
        <w:rPr>
          <w:color w:val="000000" w:themeColor="text1"/>
        </w:rPr>
        <w:t>Ligji</w:t>
      </w:r>
      <w:r>
        <w:rPr>
          <w:color w:val="000000" w:themeColor="text1"/>
        </w:rPr>
        <w:t>n</w:t>
      </w:r>
      <w:r w:rsidRPr="004A33E8">
        <w:rPr>
          <w:color w:val="000000" w:themeColor="text1"/>
        </w:rPr>
        <w:t xml:space="preserve"> nr.107/2014 datë 31.07.2014, , “Për </w:t>
      </w:r>
      <w:r>
        <w:rPr>
          <w:color w:val="000000" w:themeColor="text1"/>
        </w:rPr>
        <w:t>P</w:t>
      </w:r>
      <w:r w:rsidRPr="004A33E8">
        <w:rPr>
          <w:color w:val="000000" w:themeColor="text1"/>
        </w:rPr>
        <w:t xml:space="preserve">lanifikimin e </w:t>
      </w:r>
      <w:r>
        <w:rPr>
          <w:color w:val="000000" w:themeColor="text1"/>
        </w:rPr>
        <w:t>Te</w:t>
      </w:r>
      <w:r w:rsidRPr="004A33E8">
        <w:rPr>
          <w:color w:val="000000" w:themeColor="text1"/>
        </w:rPr>
        <w:t xml:space="preserve">rritorit” i ndryshuar, VKM nr.408 datë 13.05.2015, “Për </w:t>
      </w:r>
      <w:r>
        <w:rPr>
          <w:color w:val="000000" w:themeColor="text1"/>
        </w:rPr>
        <w:t>M</w:t>
      </w:r>
      <w:r w:rsidRPr="004A33E8">
        <w:rPr>
          <w:color w:val="000000" w:themeColor="text1"/>
        </w:rPr>
        <w:t xml:space="preserve">iratimin e </w:t>
      </w:r>
      <w:r>
        <w:rPr>
          <w:color w:val="000000" w:themeColor="text1"/>
        </w:rPr>
        <w:t>Rr</w:t>
      </w:r>
      <w:r w:rsidRPr="004A33E8">
        <w:rPr>
          <w:color w:val="000000" w:themeColor="text1"/>
        </w:rPr>
        <w:t>egullores</w:t>
      </w:r>
      <w:r>
        <w:rPr>
          <w:color w:val="000000" w:themeColor="text1"/>
        </w:rPr>
        <w:t xml:space="preserve"> </w:t>
      </w:r>
      <w:r w:rsidRPr="004A33E8">
        <w:rPr>
          <w:color w:val="000000" w:themeColor="text1"/>
        </w:rPr>
        <w:t xml:space="preserve">së </w:t>
      </w:r>
      <w:r>
        <w:rPr>
          <w:color w:val="000000" w:themeColor="text1"/>
        </w:rPr>
        <w:t>Z</w:t>
      </w:r>
      <w:r w:rsidRPr="004A33E8">
        <w:rPr>
          <w:color w:val="000000" w:themeColor="text1"/>
        </w:rPr>
        <w:t xml:space="preserve">hvillimit të </w:t>
      </w:r>
      <w:r>
        <w:rPr>
          <w:color w:val="000000" w:themeColor="text1"/>
        </w:rPr>
        <w:t>Te</w:t>
      </w:r>
      <w:r w:rsidRPr="004A33E8">
        <w:rPr>
          <w:color w:val="000000" w:themeColor="text1"/>
        </w:rPr>
        <w:t>rritorit” i ndryshuar,</w:t>
      </w:r>
      <w:r>
        <w:rPr>
          <w:color w:val="000000" w:themeColor="text1"/>
        </w:rPr>
        <w:t>Ligjin Nr. 9482 datë 03.04.2006 “Për Legalizimin Urbanizimin dhe Integrimin e Ndërtimeve pa Leje”,</w:t>
      </w:r>
      <w:r w:rsidRPr="004A33E8">
        <w:rPr>
          <w:color w:val="000000" w:themeColor="text1"/>
        </w:rPr>
        <w:t xml:space="preserve"> </w:t>
      </w:r>
      <w:r>
        <w:rPr>
          <w:color w:val="000000" w:themeColor="text1"/>
        </w:rPr>
        <w:t>i ndryshuar</w:t>
      </w:r>
      <w:r w:rsidRPr="00545B8B">
        <w:rPr>
          <w:lang w:val="it-IT"/>
        </w:rPr>
        <w:t xml:space="preserve"> </w:t>
      </w:r>
      <w:r>
        <w:rPr>
          <w:lang w:val="it-IT"/>
        </w:rPr>
        <w:t>pas relacionit nga</w:t>
      </w:r>
      <w:r>
        <w:rPr>
          <w:color w:val="000000"/>
          <w:lang w:val="it-IT"/>
        </w:rPr>
        <w:t xml:space="preserve"> Drejtoria e PKZHT-se, i propozojme Keshillit Bashkiak Kamez  shtesen ne paketen fiskale si me poshte:</w:t>
      </w:r>
    </w:p>
    <w:p w:rsidR="00F47F8B" w:rsidRPr="00F47F8B" w:rsidRDefault="00F47F8B" w:rsidP="00F47F8B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  <w:lang w:val="it-IT"/>
        </w:rPr>
      </w:pPr>
    </w:p>
    <w:p w:rsidR="006251B8" w:rsidRPr="00803D45" w:rsidRDefault="006251B8" w:rsidP="00775706">
      <w:pPr>
        <w:pStyle w:val="Heading1"/>
        <w:shd w:val="clear" w:color="auto" w:fill="95B3D7" w:themeFill="accent1" w:themeFillTint="99"/>
        <w:jc w:val="left"/>
      </w:pPr>
      <w:bookmarkStart w:id="0" w:name="_Toc531004705"/>
      <w:r w:rsidRPr="00803D45">
        <w:t>A.5 .TAKSA</w:t>
      </w:r>
      <w:r w:rsidR="0003703F">
        <w:t xml:space="preserve"> </w:t>
      </w:r>
      <w:r w:rsidRPr="00803D45">
        <w:t>E</w:t>
      </w:r>
      <w:r w:rsidR="0003703F">
        <w:t xml:space="preserve"> </w:t>
      </w:r>
      <w:r w:rsidRPr="00803D45">
        <w:t>NDIKIMIT</w:t>
      </w:r>
      <w:r w:rsidR="0003703F">
        <w:t xml:space="preserve"> N</w:t>
      </w:r>
      <w:r w:rsidR="0003703F" w:rsidRPr="00803D45">
        <w:t>Ë</w:t>
      </w:r>
      <w:r w:rsidR="0003703F">
        <w:t xml:space="preserve"> I</w:t>
      </w:r>
      <w:r w:rsidRPr="00803D45">
        <w:t>NFRASTUKTURË</w:t>
      </w:r>
      <w:r w:rsidR="0003703F">
        <w:t xml:space="preserve"> </w:t>
      </w:r>
      <w:r w:rsidRPr="00803D45">
        <w:t>NGA NDËRTIMET</w:t>
      </w:r>
      <w:r w:rsidR="0003703F">
        <w:t xml:space="preserve"> </w:t>
      </w:r>
      <w:r w:rsidRPr="00803D45">
        <w:t>E</w:t>
      </w:r>
      <w:r w:rsidR="0003703F">
        <w:t xml:space="preserve"> </w:t>
      </w:r>
      <w:r w:rsidRPr="00803D45">
        <w:t>REJA</w:t>
      </w:r>
      <w:bookmarkEnd w:id="0"/>
    </w:p>
    <w:p w:rsidR="008D732E" w:rsidRPr="008D732E" w:rsidRDefault="008D732E" w:rsidP="008D732E">
      <w:pPr>
        <w:rPr>
          <w:lang w:val="en-US"/>
        </w:rPr>
      </w:pPr>
    </w:p>
    <w:p w:rsidR="006251B8" w:rsidRPr="006D6907" w:rsidRDefault="006251B8" w:rsidP="000D2A4A">
      <w:pPr>
        <w:tabs>
          <w:tab w:val="left" w:pos="1485"/>
        </w:tabs>
        <w:spacing w:after="120"/>
        <w:jc w:val="both"/>
        <w:rPr>
          <w:lang w:val="it-IT"/>
        </w:rPr>
      </w:pPr>
      <w:r w:rsidRPr="006D6907">
        <w:rPr>
          <w:b/>
          <w:lang w:val="it-IT"/>
        </w:rPr>
        <w:t>1</w:t>
      </w:r>
      <w:r w:rsidRPr="006D6907">
        <w:rPr>
          <w:lang w:val="it-IT"/>
        </w:rPr>
        <w:t xml:space="preserve">. Baza e taksës </w:t>
      </w:r>
      <w:r w:rsidRPr="006D6907">
        <w:rPr>
          <w:rFonts w:eastAsiaTheme="minorHAnsi"/>
          <w:color w:val="000000"/>
        </w:rPr>
        <w:t>ë</w:t>
      </w:r>
      <w:r w:rsidRPr="006D6907">
        <w:rPr>
          <w:lang w:val="it-IT"/>
        </w:rPr>
        <w:t xml:space="preserve">shtë vlera në lekë </w:t>
      </w:r>
      <w:r w:rsidR="00144BDA" w:rsidRPr="006D6907">
        <w:t>sipas preventivit</w:t>
      </w:r>
      <w:r w:rsidRPr="006D6907">
        <w:rPr>
          <w:lang w:val="it-IT"/>
        </w:rPr>
        <w:t>që kërkohet të kryhet ose vlera në lekë e cmimit të shitjes për metër katror të investimit të ri.Klasifikimi si investim i ri përcaktohet në përputhje me legjislacionin në fuqi për dhënien e lejës së ndërtimit.</w:t>
      </w:r>
    </w:p>
    <w:p w:rsidR="00336D4C" w:rsidRPr="006D6907" w:rsidRDefault="00336D4C" w:rsidP="006D6907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6D6907">
        <w:rPr>
          <w:rFonts w:ascii="Times New Roman" w:hAnsi="Times New Roman" w:cs="Times New Roman"/>
          <w:lang w:val="it-IT"/>
        </w:rPr>
        <w:t xml:space="preserve">2.  Në rastin e ndërtimeve të destinuara për qëllime banimi apo për njësi tregtimi dhe shërbimi, të cilat kryhen nga shoqëri ndërtimi, shkalla e taksës së ndikimit në infrastrukturë është në masën </w:t>
      </w:r>
      <w:r w:rsidR="006D2EAC">
        <w:rPr>
          <w:rFonts w:ascii="Times New Roman" w:hAnsi="Times New Roman" w:cs="Times New Roman"/>
          <w:b/>
          <w:color w:val="1F497D" w:themeColor="text2"/>
          <w:lang w:val="it-IT"/>
        </w:rPr>
        <w:t xml:space="preserve">4 (katër) % </w:t>
      </w:r>
      <w:r w:rsidRPr="006D6907">
        <w:rPr>
          <w:rFonts w:ascii="Times New Roman" w:hAnsi="Times New Roman" w:cs="Times New Roman"/>
          <w:lang w:val="it-IT"/>
        </w:rPr>
        <w:t xml:space="preserve"> të çmimit të shitjes për metër katror.</w:t>
      </w:r>
    </w:p>
    <w:p w:rsidR="00336D4C" w:rsidRPr="006D6907" w:rsidRDefault="00336D4C" w:rsidP="00144BDA">
      <w:pPr>
        <w:pStyle w:val="Default"/>
        <w:spacing w:after="80"/>
        <w:jc w:val="both"/>
        <w:rPr>
          <w:rFonts w:ascii="Times New Roman" w:hAnsi="Times New Roman" w:cs="Times New Roman"/>
          <w:lang w:val="it-IT"/>
        </w:rPr>
      </w:pPr>
      <w:r w:rsidRPr="006D6907">
        <w:rPr>
          <w:rFonts w:ascii="Times New Roman" w:hAnsi="Times New Roman" w:cs="Times New Roman"/>
          <w:lang w:val="it-IT"/>
        </w:rPr>
        <w:t>Në këtë kategori investimesh përfshihen edhe ndërtimet zëvendësuese për qëllime banimi, të kushtëzuara për t’u ndërtuar si shkak</w:t>
      </w:r>
      <w:r w:rsidR="00A837DC">
        <w:rPr>
          <w:rFonts w:ascii="Times New Roman" w:hAnsi="Times New Roman" w:cs="Times New Roman"/>
          <w:lang w:val="it-IT"/>
        </w:rPr>
        <w:t xml:space="preserve"> i zbatimit të një kontrate konç</w:t>
      </w:r>
      <w:r w:rsidRPr="006D6907">
        <w:rPr>
          <w:rFonts w:ascii="Times New Roman" w:hAnsi="Times New Roman" w:cs="Times New Roman"/>
          <w:lang w:val="it-IT"/>
        </w:rPr>
        <w:t>ensionare, e cila prek banesat ekzistuese. Gjithashtu, në këtë kategori përfshihen edhe ndërtimet e destinuara për q</w:t>
      </w:r>
      <w:r w:rsidR="00144BDA">
        <w:rPr>
          <w:rFonts w:ascii="Times New Roman" w:hAnsi="Times New Roman" w:cs="Times New Roman"/>
          <w:lang w:val="it-IT"/>
        </w:rPr>
        <w:t>endra tregtare apo të biznesit.</w:t>
      </w:r>
    </w:p>
    <w:p w:rsidR="00BF0FFF" w:rsidRDefault="00A206EF" w:rsidP="006D6907">
      <w:pPr>
        <w:tabs>
          <w:tab w:val="left" w:pos="1485"/>
        </w:tabs>
        <w:spacing w:after="80"/>
        <w:jc w:val="both"/>
        <w:rPr>
          <w:lang w:val="it-IT"/>
        </w:rPr>
      </w:pPr>
      <w:r>
        <w:rPr>
          <w:b/>
          <w:lang w:val="it-IT"/>
        </w:rPr>
        <w:t>3</w:t>
      </w:r>
      <w:r w:rsidR="006251B8" w:rsidRPr="006D6907">
        <w:rPr>
          <w:lang w:val="it-IT"/>
        </w:rPr>
        <w:t>.</w:t>
      </w:r>
      <w:r w:rsidR="003C6328">
        <w:rPr>
          <w:lang w:val="it-IT"/>
        </w:rPr>
        <w:t>Në rastin e ndërtimeve</w:t>
      </w:r>
      <w:r w:rsidR="00BF0FFF">
        <w:rPr>
          <w:lang w:val="it-IT"/>
        </w:rPr>
        <w:t xml:space="preserve"> të ndryshme nga ato të përcaktuara në pikën 2, të këtij neni,</w:t>
      </w:r>
      <w:r w:rsidR="005E3BD5">
        <w:rPr>
          <w:lang w:val="it-IT"/>
        </w:rPr>
        <w:t xml:space="preserve"> niveli i taksës shprehet si përqindje e vlerës së investimit dhe është: P</w:t>
      </w:r>
      <w:r w:rsidR="006251B8" w:rsidRPr="00A206EF">
        <w:rPr>
          <w:lang w:val="it-IT"/>
        </w:rPr>
        <w:t>ër</w:t>
      </w:r>
      <w:r w:rsidR="005E3BD5">
        <w:rPr>
          <w:lang w:val="it-IT"/>
        </w:rPr>
        <w:t xml:space="preserve"> ndërtime që destinohen për përdorim në sektorin e turizmit, të industrisë, bujqësisë; të ndërtimeve individuale për qëllime të  përdorimit vetjak nga individët, të ndërtuara vetë individi apo me sipërmarrës; </w:t>
      </w:r>
      <w:r w:rsidR="005E3BD5" w:rsidRPr="005E3BD5">
        <w:rPr>
          <w:lang w:val="it-IT"/>
        </w:rPr>
        <w:t>si dhe të ndërtimeve për qëllime publike</w:t>
      </w:r>
      <w:r w:rsidR="00894455">
        <w:rPr>
          <w:lang w:val="it-IT"/>
        </w:rPr>
        <w:t xml:space="preserve">, </w:t>
      </w:r>
      <w:r w:rsidR="006251B8" w:rsidRPr="00A206EF">
        <w:rPr>
          <w:lang w:val="it-IT"/>
        </w:rPr>
        <w:t xml:space="preserve">taksa e ndërtimit në infrastrukturë eshtë në masën </w:t>
      </w:r>
      <w:r w:rsidRPr="00A206EF">
        <w:rPr>
          <w:b/>
          <w:color w:val="1F497D" w:themeColor="text2"/>
          <w:lang w:val="it-IT"/>
        </w:rPr>
        <w:t>3</w:t>
      </w:r>
      <w:r w:rsidR="0003703F">
        <w:rPr>
          <w:b/>
          <w:color w:val="1F497D" w:themeColor="text2"/>
          <w:lang w:val="it-IT"/>
        </w:rPr>
        <w:t xml:space="preserve"> % të </w:t>
      </w:r>
      <w:r w:rsidR="00894455">
        <w:rPr>
          <w:b/>
          <w:color w:val="1F497D" w:themeColor="text2"/>
          <w:lang w:val="it-IT"/>
        </w:rPr>
        <w:t>vlerës së investimit, ose e (</w:t>
      </w:r>
      <w:r w:rsidR="0003703F">
        <w:rPr>
          <w:b/>
          <w:color w:val="1F497D" w:themeColor="text2"/>
          <w:lang w:val="it-IT"/>
        </w:rPr>
        <w:t>ç</w:t>
      </w:r>
      <w:r w:rsidR="006251B8" w:rsidRPr="00A206EF">
        <w:rPr>
          <w:b/>
          <w:color w:val="1F497D" w:themeColor="text2"/>
          <w:lang w:val="it-IT"/>
        </w:rPr>
        <w:t xml:space="preserve">mimit të </w:t>
      </w:r>
      <w:r w:rsidR="000060BB">
        <w:rPr>
          <w:b/>
          <w:color w:val="1F497D" w:themeColor="text2"/>
          <w:lang w:val="it-IT"/>
        </w:rPr>
        <w:t>ndërtimit</w:t>
      </w:r>
      <w:r w:rsidR="006251B8" w:rsidRPr="00A206EF">
        <w:rPr>
          <w:b/>
          <w:color w:val="1F497D" w:themeColor="text2"/>
          <w:lang w:val="it-IT"/>
        </w:rPr>
        <w:t xml:space="preserve"> për metër katror</w:t>
      </w:r>
      <w:r w:rsidR="00894455">
        <w:rPr>
          <w:b/>
          <w:color w:val="1F497D" w:themeColor="text2"/>
          <w:lang w:val="it-IT"/>
        </w:rPr>
        <w:t>)</w:t>
      </w:r>
      <w:r w:rsidR="006251B8" w:rsidRPr="00A206EF">
        <w:rPr>
          <w:lang w:val="it-IT"/>
        </w:rPr>
        <w:t>.</w:t>
      </w:r>
    </w:p>
    <w:p w:rsidR="00F47F8B" w:rsidRDefault="006251B8" w:rsidP="000D2A4A">
      <w:pPr>
        <w:tabs>
          <w:tab w:val="left" w:pos="1485"/>
        </w:tabs>
        <w:spacing w:after="120"/>
        <w:jc w:val="both"/>
        <w:rPr>
          <w:lang w:val="it-IT"/>
        </w:rPr>
      </w:pPr>
      <w:r w:rsidRPr="00A206EF">
        <w:rPr>
          <w:lang w:val="it-IT"/>
        </w:rPr>
        <w:lastRenderedPageBreak/>
        <w:t xml:space="preserve">Baza e taksës </w:t>
      </w:r>
      <w:r w:rsidRPr="00A206EF">
        <w:rPr>
          <w:rFonts w:eastAsiaTheme="minorHAnsi"/>
          <w:color w:val="000000"/>
        </w:rPr>
        <w:t>ë</w:t>
      </w:r>
      <w:r w:rsidRPr="00A206EF">
        <w:rPr>
          <w:lang w:val="it-IT"/>
        </w:rPr>
        <w:t>shtë vl</w:t>
      </w:r>
      <w:r w:rsidR="00A837DC">
        <w:rPr>
          <w:lang w:val="it-IT"/>
        </w:rPr>
        <w:t>era në lekë për metër katror e ç</w:t>
      </w:r>
      <w:r w:rsidRPr="00A206EF">
        <w:rPr>
          <w:lang w:val="it-IT"/>
        </w:rPr>
        <w:t>mimit të shitjes së njësive të shërbimit apo</w:t>
      </w:r>
      <w:r w:rsidR="00A837DC">
        <w:rPr>
          <w:lang w:val="it-IT"/>
        </w:rPr>
        <w:t xml:space="preserve"> ndërtesave për qëllime banimi. Ç</w:t>
      </w:r>
      <w:r w:rsidRPr="00A206EF">
        <w:rPr>
          <w:lang w:val="it-IT"/>
        </w:rPr>
        <w:t>mimi i shitjes për metër katror bazohet në vlerën referuese të vlerës së tregut sipas përcaktimeve të udhëzimit të Këshillit të Ministrave “Për miratimin e kostos mesatare të banesave të ndërtimit,</w:t>
      </w:r>
      <w:r w:rsidR="00A837DC" w:rsidRPr="00A837DC">
        <w:rPr>
          <w:color w:val="000000" w:themeColor="text1"/>
          <w:lang w:val="it-IT"/>
        </w:rPr>
        <w:t>të banesave</w:t>
      </w:r>
      <w:r w:rsidRPr="00A206EF">
        <w:rPr>
          <w:lang w:val="it-IT"/>
        </w:rPr>
        <w:t>nga Enti Kombëtar i Banesave”,që miratohet çdo vit.</w:t>
      </w:r>
    </w:p>
    <w:p w:rsidR="00696A55" w:rsidRDefault="00696A55" w:rsidP="000D2A4A">
      <w:pPr>
        <w:tabs>
          <w:tab w:val="left" w:pos="1485"/>
        </w:tabs>
        <w:spacing w:after="120"/>
        <w:jc w:val="both"/>
        <w:rPr>
          <w:lang w:val="it-IT"/>
        </w:rPr>
      </w:pPr>
      <w:r w:rsidRPr="00696A55">
        <w:rPr>
          <w:rFonts w:ascii="ArialMT" w:hAnsi="ArialMT"/>
          <w:color w:val="A8D08D"/>
        </w:rPr>
        <w:br/>
      </w:r>
      <w:r w:rsidR="00894455">
        <w:rPr>
          <w:b/>
          <w:lang w:val="it-IT"/>
        </w:rPr>
        <w:t>4</w:t>
      </w:r>
      <w:r w:rsidR="00894455" w:rsidRPr="006D6907">
        <w:rPr>
          <w:lang w:val="it-IT"/>
        </w:rPr>
        <w:t>.Në rastin e ndërtimeve të ndryshme nga ato të përcaktuara në piken 2 niveli i taksës shprehet në tabelën e mëposhtme;</w:t>
      </w:r>
    </w:p>
    <w:p w:rsidR="00F47F8B" w:rsidRPr="006D6907" w:rsidRDefault="00F47F8B" w:rsidP="000D2A4A">
      <w:pPr>
        <w:tabs>
          <w:tab w:val="left" w:pos="1485"/>
        </w:tabs>
        <w:spacing w:after="120"/>
        <w:jc w:val="both"/>
        <w:rPr>
          <w:lang w:val="it-IT"/>
        </w:rPr>
      </w:pPr>
    </w:p>
    <w:tbl>
      <w:tblPr>
        <w:tblStyle w:val="LightList-Accent12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616"/>
        <w:gridCol w:w="1087"/>
      </w:tblGrid>
      <w:tr w:rsidR="006251B8" w:rsidRPr="006D6907" w:rsidTr="00846E4B">
        <w:trPr>
          <w:cnfStyle w:val="100000000000"/>
          <w:trHeight w:val="354"/>
        </w:trPr>
        <w:tc>
          <w:tcPr>
            <w:cnfStyle w:val="001000000000"/>
            <w:tcW w:w="540" w:type="dxa"/>
            <w:hideMark/>
          </w:tcPr>
          <w:p w:rsidR="006251B8" w:rsidRPr="006D6907" w:rsidRDefault="006251B8" w:rsidP="00AD116C">
            <w:pPr>
              <w:rPr>
                <w:rFonts w:eastAsia="Calibri"/>
                <w:lang w:eastAsia="it-IT"/>
              </w:rPr>
            </w:pPr>
            <w:bookmarkStart w:id="1" w:name="_Toc530406181"/>
            <w:r w:rsidRPr="006D6907">
              <w:rPr>
                <w:rFonts w:eastAsia="Calibri"/>
                <w:lang w:eastAsia="it-IT"/>
              </w:rPr>
              <w:t>Nr</w:t>
            </w:r>
            <w:bookmarkEnd w:id="1"/>
          </w:p>
        </w:tc>
        <w:tc>
          <w:tcPr>
            <w:tcW w:w="7616" w:type="dxa"/>
            <w:hideMark/>
          </w:tcPr>
          <w:p w:rsidR="006251B8" w:rsidRPr="006D6907" w:rsidRDefault="006251B8" w:rsidP="00AD116C">
            <w:pPr>
              <w:cnfStyle w:val="100000000000"/>
              <w:rPr>
                <w:rFonts w:eastAsia="Calibri"/>
                <w:lang w:eastAsia="it-IT"/>
              </w:rPr>
            </w:pPr>
            <w:bookmarkStart w:id="2" w:name="_Toc530406182"/>
            <w:r w:rsidRPr="006D6907">
              <w:rPr>
                <w:rFonts w:eastAsia="Calibri"/>
                <w:lang w:eastAsia="it-IT"/>
              </w:rPr>
              <w:t>Taksa e ndikimit në infrastrukturë nga ndërtime të reja</w:t>
            </w:r>
            <w:bookmarkEnd w:id="2"/>
          </w:p>
        </w:tc>
        <w:tc>
          <w:tcPr>
            <w:tcW w:w="1087" w:type="dxa"/>
            <w:hideMark/>
          </w:tcPr>
          <w:p w:rsidR="006251B8" w:rsidRPr="006D6907" w:rsidRDefault="006251B8" w:rsidP="00AD116C">
            <w:pPr>
              <w:cnfStyle w:val="100000000000"/>
              <w:rPr>
                <w:rFonts w:eastAsia="Calibri"/>
                <w:lang w:eastAsia="it-IT"/>
              </w:rPr>
            </w:pPr>
            <w:bookmarkStart w:id="3" w:name="_Toc530406183"/>
            <w:r w:rsidRPr="006D6907">
              <w:rPr>
                <w:rFonts w:eastAsia="Calibri"/>
                <w:lang w:eastAsia="it-IT"/>
              </w:rPr>
              <w:t>Në %</w:t>
            </w:r>
            <w:bookmarkEnd w:id="3"/>
          </w:p>
        </w:tc>
      </w:tr>
      <w:tr w:rsidR="006251B8" w:rsidRPr="006D6907" w:rsidTr="00846E4B">
        <w:trPr>
          <w:cnfStyle w:val="000000100000"/>
          <w:trHeight w:val="355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1B8" w:rsidRPr="006D6907" w:rsidRDefault="006251B8" w:rsidP="00AD116C">
            <w:pPr>
              <w:rPr>
                <w:rFonts w:eastAsia="Calibri"/>
                <w:b w:val="0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1.</w:t>
            </w:r>
          </w:p>
        </w:tc>
        <w:tc>
          <w:tcPr>
            <w:tcW w:w="761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1B8" w:rsidRPr="006D6907" w:rsidRDefault="006251B8" w:rsidP="00AD116C">
            <w:pPr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 xml:space="preserve">Objekte banimi </w:t>
            </w: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1B8" w:rsidRPr="006D6907" w:rsidRDefault="006251B8" w:rsidP="00BC49FA">
            <w:pPr>
              <w:jc w:val="center"/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3%</w:t>
            </w:r>
          </w:p>
        </w:tc>
      </w:tr>
      <w:tr w:rsidR="006251B8" w:rsidRPr="006D6907" w:rsidTr="00846E4B">
        <w:trPr>
          <w:trHeight w:val="330"/>
        </w:trPr>
        <w:tc>
          <w:tcPr>
            <w:cnfStyle w:val="001000000000"/>
            <w:tcW w:w="540" w:type="dxa"/>
          </w:tcPr>
          <w:p w:rsidR="006251B8" w:rsidRPr="006D6907" w:rsidRDefault="006251B8" w:rsidP="00AD116C">
            <w:pPr>
              <w:rPr>
                <w:rFonts w:eastAsia="Calibri"/>
                <w:b w:val="0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2.</w:t>
            </w:r>
          </w:p>
        </w:tc>
        <w:tc>
          <w:tcPr>
            <w:tcW w:w="7616" w:type="dxa"/>
            <w:hideMark/>
          </w:tcPr>
          <w:p w:rsidR="006251B8" w:rsidRPr="006D6907" w:rsidRDefault="006251B8" w:rsidP="00AD116C">
            <w:pPr>
              <w:cnfStyle w:val="0000000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Objekte administrative, shërbimi dhe industriale</w:t>
            </w:r>
            <w:r w:rsidR="00336D4C" w:rsidRPr="00A123F8">
              <w:rPr>
                <w:rFonts w:eastAsia="Calibri"/>
                <w:lang w:eastAsia="it-IT"/>
              </w:rPr>
              <w:t xml:space="preserve">, </w:t>
            </w:r>
            <w:r w:rsidR="00336D4C" w:rsidRPr="00A123F8">
              <w:t>turizmit, të industrisë, bujqësisë</w:t>
            </w:r>
          </w:p>
        </w:tc>
        <w:tc>
          <w:tcPr>
            <w:tcW w:w="1087" w:type="dxa"/>
            <w:hideMark/>
          </w:tcPr>
          <w:p w:rsidR="006251B8" w:rsidRPr="006D6907" w:rsidRDefault="006251B8" w:rsidP="00BC49FA">
            <w:pPr>
              <w:jc w:val="center"/>
              <w:cnfStyle w:val="0000000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3%</w:t>
            </w:r>
          </w:p>
        </w:tc>
      </w:tr>
      <w:tr w:rsidR="006251B8" w:rsidRPr="006D6907" w:rsidTr="00846E4B">
        <w:trPr>
          <w:cnfStyle w:val="000000100000"/>
          <w:trHeight w:val="521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1B8" w:rsidRPr="006D6907" w:rsidRDefault="006251B8" w:rsidP="00AD116C">
            <w:pPr>
              <w:rPr>
                <w:rFonts w:eastAsia="Calibri"/>
                <w:b w:val="0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3.</w:t>
            </w:r>
          </w:p>
        </w:tc>
        <w:tc>
          <w:tcPr>
            <w:tcW w:w="761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1B8" w:rsidRPr="006D6907" w:rsidRDefault="006251B8" w:rsidP="00AD116C">
            <w:pPr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Objekte me qëllime publike, privatë dhe shtetërore si: spitale, shkolla, kopshte dhe infrastrukturë .</w:t>
            </w: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1B8" w:rsidRPr="006D6907" w:rsidRDefault="006251B8" w:rsidP="00BC49FA">
            <w:pPr>
              <w:jc w:val="center"/>
              <w:cnfStyle w:val="000000100000"/>
              <w:rPr>
                <w:rFonts w:eastAsia="Calibri"/>
                <w:lang w:eastAsia="it-IT"/>
              </w:rPr>
            </w:pPr>
          </w:p>
          <w:p w:rsidR="006251B8" w:rsidRPr="006D6907" w:rsidRDefault="006251B8" w:rsidP="00BC49FA">
            <w:pPr>
              <w:jc w:val="center"/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3%</w:t>
            </w:r>
          </w:p>
        </w:tc>
      </w:tr>
      <w:tr w:rsidR="006251B8" w:rsidRPr="006D6907" w:rsidTr="00846E4B">
        <w:trPr>
          <w:trHeight w:val="233"/>
        </w:trPr>
        <w:tc>
          <w:tcPr>
            <w:cnfStyle w:val="001000000000"/>
            <w:tcW w:w="540" w:type="dxa"/>
            <w:hideMark/>
          </w:tcPr>
          <w:p w:rsidR="006251B8" w:rsidRPr="006D6907" w:rsidRDefault="00A206EF" w:rsidP="00AD116C">
            <w:pPr>
              <w:rPr>
                <w:rFonts w:eastAsia="Calibri"/>
                <w:b w:val="0"/>
                <w:lang w:eastAsia="it-IT"/>
              </w:rPr>
            </w:pPr>
            <w:r>
              <w:rPr>
                <w:rFonts w:eastAsia="Calibri"/>
                <w:lang w:eastAsia="it-IT"/>
              </w:rPr>
              <w:t>4</w:t>
            </w:r>
            <w:r w:rsidR="006251B8" w:rsidRPr="006D6907">
              <w:rPr>
                <w:rFonts w:eastAsia="Calibri"/>
                <w:lang w:eastAsia="it-IT"/>
              </w:rPr>
              <w:t>.</w:t>
            </w:r>
          </w:p>
        </w:tc>
        <w:tc>
          <w:tcPr>
            <w:tcW w:w="7616" w:type="dxa"/>
            <w:hideMark/>
          </w:tcPr>
          <w:p w:rsidR="006251B8" w:rsidRPr="00894455" w:rsidRDefault="006251B8" w:rsidP="00AD116C">
            <w:pPr>
              <w:cnfStyle w:val="000000000000"/>
              <w:rPr>
                <w:b/>
              </w:rPr>
            </w:pPr>
            <w:r w:rsidRPr="00894455">
              <w:rPr>
                <w:b/>
              </w:rPr>
              <w:t>Objekte</w:t>
            </w:r>
            <w:r w:rsidR="00894455" w:rsidRPr="00894455">
              <w:rPr>
                <w:b/>
              </w:rPr>
              <w:t xml:space="preserve"> </w:t>
            </w:r>
            <w:r w:rsidRPr="00894455">
              <w:rPr>
                <w:b/>
              </w:rPr>
              <w:t>për qëllim shitje (banim,shërbime</w:t>
            </w:r>
            <w:r w:rsidR="00A206EF" w:rsidRPr="00894455">
              <w:rPr>
                <w:b/>
              </w:rPr>
              <w:t>,qendra tregtare apo biznesi</w:t>
            </w:r>
            <w:r w:rsidR="00894455" w:rsidRPr="00894455">
              <w:rPr>
                <w:b/>
              </w:rPr>
              <w:t>) të pikë</w:t>
            </w:r>
            <w:r w:rsidRPr="00894455">
              <w:rPr>
                <w:b/>
              </w:rPr>
              <w:t>s 2</w:t>
            </w:r>
            <w:r w:rsidR="00894455" w:rsidRPr="00894455">
              <w:rPr>
                <w:b/>
              </w:rPr>
              <w:t xml:space="preserve"> të </w:t>
            </w:r>
            <w:r w:rsidR="00A206EF" w:rsidRPr="00894455">
              <w:rPr>
                <w:b/>
              </w:rPr>
              <w:t>ligjit.</w:t>
            </w:r>
          </w:p>
        </w:tc>
        <w:tc>
          <w:tcPr>
            <w:tcW w:w="1087" w:type="dxa"/>
          </w:tcPr>
          <w:p w:rsidR="006251B8" w:rsidRPr="006D6907" w:rsidRDefault="006251B8" w:rsidP="00BC49FA">
            <w:pPr>
              <w:jc w:val="center"/>
              <w:cnfStyle w:val="0000000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4%</w:t>
            </w:r>
          </w:p>
        </w:tc>
      </w:tr>
      <w:tr w:rsidR="006251B8" w:rsidRPr="006D6907" w:rsidTr="00846E4B">
        <w:trPr>
          <w:cnfStyle w:val="000000100000"/>
          <w:trHeight w:val="313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1B8" w:rsidRPr="006D6907" w:rsidRDefault="00A206EF" w:rsidP="00AD116C">
            <w:pPr>
              <w:rPr>
                <w:rFonts w:eastAsia="Calibri"/>
                <w:b w:val="0"/>
                <w:lang w:eastAsia="it-IT"/>
              </w:rPr>
            </w:pPr>
            <w:r>
              <w:rPr>
                <w:rFonts w:eastAsia="Calibri"/>
                <w:lang w:eastAsia="it-IT"/>
              </w:rPr>
              <w:t>5</w:t>
            </w:r>
            <w:r w:rsidR="006251B8" w:rsidRPr="006D6907">
              <w:rPr>
                <w:rFonts w:eastAsia="Calibri"/>
                <w:lang w:eastAsia="it-IT"/>
              </w:rPr>
              <w:t>.</w:t>
            </w:r>
          </w:p>
        </w:tc>
        <w:tc>
          <w:tcPr>
            <w:tcW w:w="7616" w:type="dxa"/>
            <w:tcBorders>
              <w:top w:val="none" w:sz="0" w:space="0" w:color="auto"/>
              <w:bottom w:val="none" w:sz="0" w:space="0" w:color="auto"/>
            </w:tcBorders>
          </w:tcPr>
          <w:p w:rsidR="006251B8" w:rsidRPr="006D6907" w:rsidRDefault="006251B8" w:rsidP="00AD116C">
            <w:pPr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Ndërtesa në proces legalizimi</w:t>
            </w: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1B8" w:rsidRPr="006D6907" w:rsidRDefault="006251B8" w:rsidP="00BC49FA">
            <w:pPr>
              <w:jc w:val="center"/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0.5%</w:t>
            </w:r>
          </w:p>
        </w:tc>
      </w:tr>
      <w:tr w:rsidR="006251B8" w:rsidRPr="006D6907" w:rsidTr="00846E4B">
        <w:trPr>
          <w:trHeight w:val="402"/>
        </w:trPr>
        <w:tc>
          <w:tcPr>
            <w:cnfStyle w:val="001000000000"/>
            <w:tcW w:w="540" w:type="dxa"/>
          </w:tcPr>
          <w:p w:rsidR="006251B8" w:rsidRPr="006D6907" w:rsidRDefault="006251B8" w:rsidP="00AD116C">
            <w:pPr>
              <w:rPr>
                <w:rFonts w:eastAsia="Calibri"/>
                <w:b w:val="0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6.</w:t>
            </w:r>
          </w:p>
        </w:tc>
        <w:tc>
          <w:tcPr>
            <w:tcW w:w="7616" w:type="dxa"/>
          </w:tcPr>
          <w:p w:rsidR="006251B8" w:rsidRPr="006D6907" w:rsidRDefault="006251B8" w:rsidP="00AD116C">
            <w:pPr>
              <w:cnfStyle w:val="000000000000"/>
            </w:pPr>
            <w:r w:rsidRPr="006D6907">
              <w:t>Për ndërtimin e rrugëve kombëtare, porteve, aeroporteve, tuneleve, digave, në energji.</w:t>
            </w:r>
          </w:p>
        </w:tc>
        <w:tc>
          <w:tcPr>
            <w:tcW w:w="1087" w:type="dxa"/>
          </w:tcPr>
          <w:p w:rsidR="006251B8" w:rsidRPr="006D6907" w:rsidRDefault="006251B8" w:rsidP="00BC49FA">
            <w:pPr>
              <w:jc w:val="center"/>
              <w:cnfStyle w:val="000000000000"/>
              <w:rPr>
                <w:rFonts w:eastAsia="Calibri"/>
                <w:sz w:val="16"/>
                <w:szCs w:val="16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0.1%</w:t>
            </w:r>
          </w:p>
          <w:p w:rsidR="006251B8" w:rsidRPr="006D6907" w:rsidRDefault="006251B8" w:rsidP="00BC49FA">
            <w:pPr>
              <w:jc w:val="center"/>
              <w:cnfStyle w:val="000000000000"/>
              <w:rPr>
                <w:rFonts w:eastAsia="Calibri"/>
                <w:sz w:val="16"/>
                <w:szCs w:val="16"/>
                <w:lang w:eastAsia="it-IT"/>
              </w:rPr>
            </w:pPr>
          </w:p>
        </w:tc>
      </w:tr>
    </w:tbl>
    <w:p w:rsidR="006251B8" w:rsidRPr="006D6907" w:rsidRDefault="006251B8" w:rsidP="006D6907">
      <w:pPr>
        <w:tabs>
          <w:tab w:val="left" w:pos="1485"/>
        </w:tabs>
        <w:jc w:val="both"/>
        <w:rPr>
          <w:sz w:val="2"/>
          <w:szCs w:val="2"/>
        </w:rPr>
      </w:pPr>
    </w:p>
    <w:p w:rsidR="00CA7895" w:rsidRDefault="00CA7895" w:rsidP="000D2A4A">
      <w:pPr>
        <w:tabs>
          <w:tab w:val="left" w:pos="1485"/>
        </w:tabs>
        <w:jc w:val="both"/>
      </w:pPr>
    </w:p>
    <w:p w:rsidR="006251B8" w:rsidRDefault="006251B8" w:rsidP="000D2A4A">
      <w:pPr>
        <w:tabs>
          <w:tab w:val="left" w:pos="1485"/>
        </w:tabs>
        <w:jc w:val="both"/>
      </w:pPr>
      <w:r w:rsidRPr="006D6907">
        <w:t>Për pikën 6 vlera e 0,1 % nuk duhet të jetë me pak se kostoja e reabilitimit të infrastrukturës së dëmtuar,kur kostoja e rehabilitimit nuk është përfshirë në preventivin e investimit.</w:t>
      </w:r>
    </w:p>
    <w:p w:rsidR="00CA7895" w:rsidRDefault="00CA7895" w:rsidP="000D2A4A">
      <w:pPr>
        <w:tabs>
          <w:tab w:val="left" w:pos="1485"/>
        </w:tabs>
        <w:jc w:val="both"/>
      </w:pPr>
    </w:p>
    <w:p w:rsidR="00091A25" w:rsidRDefault="00F35597" w:rsidP="000D2A4A">
      <w:pPr>
        <w:tabs>
          <w:tab w:val="left" w:pos="1485"/>
        </w:tabs>
        <w:jc w:val="both"/>
      </w:pPr>
      <w:r w:rsidRPr="00FA5A92">
        <w:rPr>
          <w:b/>
        </w:rPr>
        <w:t>Shënim:</w:t>
      </w:r>
      <w:r>
        <w:t xml:space="preserve"> Për Aktin Normativ </w:t>
      </w:r>
      <w:r w:rsidR="00E26DB0">
        <w:t>Nr.3, datë 2.10.2019 për disa shtesa ne ligjin nr.9632, datë 30.10.2006, "Për sistemin e taksave vendore", të ndryshuar Neni 1. pas pikes 8,të nenit 27</w:t>
      </w:r>
      <w:r w:rsidR="002E7E5E">
        <w:t xml:space="preserve">, shtohet pika 9 me këtë përmbajtje. Përjashtohen nga pagesa e kësaj takse </w:t>
      </w:r>
      <w:r w:rsidR="000E079B">
        <w:t xml:space="preserve">investimet për </w:t>
      </w:r>
      <w:r w:rsidR="001C3E0A">
        <w:t xml:space="preserve">rindërtimin,riparimin apo restaurimet e ndertesave të destinuara për qëllime banimi, të dëmtuara si pasoje e fatkesësive  natyrore, </w:t>
      </w:r>
      <w:r w:rsidR="00645D69">
        <w:t xml:space="preserve">të përcaktohen me </w:t>
      </w:r>
      <w:r w:rsidR="00293824">
        <w:t>"V</w:t>
      </w:r>
      <w:r w:rsidR="00645D69">
        <w:t>endim të Këshillit të Ministrave</w:t>
      </w:r>
      <w:r w:rsidR="00293824">
        <w:t xml:space="preserve"> "</w:t>
      </w:r>
      <w:r w:rsidR="0083337C">
        <w:t xml:space="preserve">, neni 36/1 Dispozitë </w:t>
      </w:r>
      <w:r w:rsidR="000A74C4">
        <w:t xml:space="preserve">tranzitore,  për sa mësipër të datës </w:t>
      </w:r>
      <w:r w:rsidR="00425DB2">
        <w:t xml:space="preserve">21 shtator </w:t>
      </w:r>
      <w:r w:rsidR="00FA5A92">
        <w:t>2019, përjashtohen nga detyrimi për pagesen e taksën e taks</w:t>
      </w:r>
      <w:r w:rsidR="00894455">
        <w:t>ës së ndikimit në infrastrukturë</w:t>
      </w:r>
      <w:r w:rsidR="00FA5A92">
        <w:t>"</w:t>
      </w:r>
      <w:r w:rsidR="00894455">
        <w:t>.</w:t>
      </w:r>
    </w:p>
    <w:p w:rsidR="00F47F8B" w:rsidRDefault="00F47F8B" w:rsidP="000D2A4A">
      <w:pPr>
        <w:tabs>
          <w:tab w:val="left" w:pos="1485"/>
        </w:tabs>
        <w:jc w:val="both"/>
      </w:pPr>
    </w:p>
    <w:p w:rsidR="00894455" w:rsidRDefault="00894455" w:rsidP="00894455">
      <w:pPr>
        <w:tabs>
          <w:tab w:val="left" w:pos="1485"/>
        </w:tabs>
        <w:rPr>
          <w:rStyle w:val="fontstyle21"/>
          <w:color w:val="auto"/>
        </w:rPr>
      </w:pPr>
      <w:r w:rsidRPr="00894455">
        <w:rPr>
          <w:rStyle w:val="fontstyle01"/>
          <w:rFonts w:eastAsiaTheme="majorEastAsia"/>
          <w:b/>
          <w:color w:val="auto"/>
        </w:rPr>
        <w:t>Shënim:</w:t>
      </w:r>
      <w:r>
        <w:rPr>
          <w:rStyle w:val="fontstyle01"/>
          <w:rFonts w:eastAsiaTheme="majorEastAsia"/>
          <w:color w:val="auto"/>
        </w:rPr>
        <w:t xml:space="preserve"> </w:t>
      </w:r>
      <w:r w:rsidR="00091A25" w:rsidRPr="00894455">
        <w:rPr>
          <w:rStyle w:val="fontstyle01"/>
          <w:rFonts w:eastAsiaTheme="majorEastAsia"/>
          <w:color w:val="auto"/>
        </w:rPr>
        <w:t>Përjashtohen nga pagesa e kësaj takse investimet e kryera për ndërtimin e</w:t>
      </w:r>
      <w:r>
        <w:rPr>
          <w:rFonts w:ascii="ArialMT" w:hAnsi="ArialMT"/>
        </w:rPr>
        <w:t xml:space="preserve"> </w:t>
      </w:r>
      <w:r w:rsidR="00091A25" w:rsidRPr="00894455">
        <w:rPr>
          <w:rStyle w:val="fontstyle01"/>
          <w:rFonts w:eastAsiaTheme="majorEastAsia"/>
          <w:color w:val="auto"/>
        </w:rPr>
        <w:t>strukturave akomoduese “Hotel/Resort me pesë yje, status special”, sipas</w:t>
      </w:r>
      <w:r>
        <w:rPr>
          <w:rFonts w:ascii="ArialMT" w:hAnsi="ArialMT"/>
        </w:rPr>
        <w:t xml:space="preserve"> </w:t>
      </w:r>
      <w:r w:rsidR="00091A25" w:rsidRPr="00894455">
        <w:rPr>
          <w:rStyle w:val="fontstyle01"/>
          <w:rFonts w:eastAsiaTheme="majorEastAsia"/>
          <w:color w:val="auto"/>
        </w:rPr>
        <w:t>përcaktimit në legjislacionin e fushës së turizmit dhe që janë mbajtës të një marke</w:t>
      </w:r>
      <w:r>
        <w:rPr>
          <w:rFonts w:ascii="ArialMT" w:hAnsi="ArialMT"/>
        </w:rPr>
        <w:t xml:space="preserve"> </w:t>
      </w:r>
      <w:r w:rsidR="00091A25" w:rsidRPr="00894455">
        <w:rPr>
          <w:rStyle w:val="fontstyle01"/>
          <w:rFonts w:eastAsiaTheme="majorEastAsia"/>
          <w:color w:val="auto"/>
        </w:rPr>
        <w:t>tregtare të regjistruar dhe njohur ndërkombëtarisht “</w:t>
      </w:r>
      <w:r w:rsidR="00091A25" w:rsidRPr="00894455">
        <w:rPr>
          <w:rStyle w:val="fontstyle21"/>
          <w:color w:val="auto"/>
        </w:rPr>
        <w:t>brand name”</w:t>
      </w:r>
      <w:r>
        <w:rPr>
          <w:rStyle w:val="fontstyle21"/>
          <w:color w:val="auto"/>
        </w:rPr>
        <w:t>.</w:t>
      </w:r>
    </w:p>
    <w:p w:rsidR="00F47F8B" w:rsidRPr="00894455" w:rsidRDefault="00F47F8B" w:rsidP="00894455">
      <w:pPr>
        <w:tabs>
          <w:tab w:val="left" w:pos="1485"/>
        </w:tabs>
        <w:rPr>
          <w:rFonts w:ascii="Arial-ItalicMT" w:hAnsi="Arial-ItalicMT"/>
          <w:i/>
          <w:iCs/>
        </w:rPr>
      </w:pPr>
    </w:p>
    <w:p w:rsidR="00894455" w:rsidRDefault="00894455" w:rsidP="00894455">
      <w:pPr>
        <w:tabs>
          <w:tab w:val="left" w:pos="1485"/>
        </w:tabs>
        <w:rPr>
          <w:rFonts w:ascii="ArialMT" w:hAnsi="ArialMT"/>
        </w:rPr>
      </w:pPr>
      <w:r w:rsidRPr="00894455">
        <w:rPr>
          <w:rFonts w:ascii="ArialMT" w:hAnsi="ArialMT"/>
          <w:b/>
        </w:rPr>
        <w:t>Shënim:</w:t>
      </w:r>
      <w:r>
        <w:rPr>
          <w:rFonts w:ascii="ArialMT" w:hAnsi="ArialMT"/>
          <w:b/>
        </w:rPr>
        <w:t xml:space="preserve"> </w:t>
      </w:r>
      <w:r w:rsidR="00091A25" w:rsidRPr="00894455">
        <w:rPr>
          <w:rFonts w:ascii="ArialMT" w:hAnsi="ArialMT"/>
        </w:rPr>
        <w:t>Përjashtohen nga pagesa e kësaj takse edhe in</w:t>
      </w:r>
      <w:r>
        <w:rPr>
          <w:rFonts w:ascii="ArialMT" w:hAnsi="ArialMT"/>
        </w:rPr>
        <w:t xml:space="preserve">vestimet e subjekteve, të cilat zhvillojnë </w:t>
      </w:r>
      <w:r w:rsidR="00091A25" w:rsidRPr="00894455">
        <w:rPr>
          <w:rFonts w:ascii="ArialMT" w:hAnsi="ArialMT"/>
        </w:rPr>
        <w:t>vep</w:t>
      </w:r>
      <w:r w:rsidR="00BF0FFF" w:rsidRPr="00894455">
        <w:rPr>
          <w:rFonts w:ascii="ArialMT" w:hAnsi="ArialMT"/>
        </w:rPr>
        <w:t>rimtari pritëse të ç</w:t>
      </w:r>
      <w:r w:rsidR="00091A25" w:rsidRPr="00894455">
        <w:rPr>
          <w:rFonts w:ascii="ArialMT" w:hAnsi="ArialMT"/>
        </w:rPr>
        <w:t>ertifikuar si “agroturizëm</w:t>
      </w:r>
      <w:r>
        <w:rPr>
          <w:rFonts w:ascii="ArialMT" w:hAnsi="ArialMT"/>
        </w:rPr>
        <w:t xml:space="preserve">”, sipas legjislacionit në fuqi </w:t>
      </w:r>
      <w:r w:rsidR="00091A25" w:rsidRPr="00894455">
        <w:rPr>
          <w:rFonts w:ascii="ArialMT" w:hAnsi="ArialMT"/>
        </w:rPr>
        <w:t>në fushën e turizmit.</w:t>
      </w:r>
    </w:p>
    <w:p w:rsidR="00F47F8B" w:rsidRDefault="00F47F8B" w:rsidP="00894455">
      <w:pPr>
        <w:tabs>
          <w:tab w:val="left" w:pos="1485"/>
        </w:tabs>
        <w:rPr>
          <w:rFonts w:ascii="ArialMT" w:hAnsi="ArialMT"/>
        </w:rPr>
      </w:pPr>
    </w:p>
    <w:p w:rsidR="00894455" w:rsidRDefault="00894455" w:rsidP="00894455">
      <w:pPr>
        <w:tabs>
          <w:tab w:val="left" w:pos="1485"/>
        </w:tabs>
        <w:jc w:val="both"/>
        <w:rPr>
          <w:sz w:val="23"/>
          <w:szCs w:val="23"/>
        </w:rPr>
      </w:pPr>
      <w:r w:rsidRPr="00BF0FFF">
        <w:rPr>
          <w:b/>
          <w:sz w:val="23"/>
          <w:szCs w:val="23"/>
        </w:rPr>
        <w:t>Shënim:</w:t>
      </w:r>
      <w:r>
        <w:rPr>
          <w:sz w:val="23"/>
          <w:szCs w:val="23"/>
        </w:rPr>
        <w:t xml:space="preserve"> </w:t>
      </w:r>
      <w:r w:rsidRPr="006D6907">
        <w:rPr>
          <w:sz w:val="23"/>
          <w:szCs w:val="23"/>
        </w:rPr>
        <w:t>Autoriteti vendor i planifikimit nuk e paguan taksën e ndikimit në infrastrukturë nga ndërtimet e reja për zhvillimet e veta me fonde publike.</w:t>
      </w:r>
    </w:p>
    <w:p w:rsidR="00F47F8B" w:rsidRPr="00894455" w:rsidRDefault="00F47F8B" w:rsidP="00894455">
      <w:pPr>
        <w:tabs>
          <w:tab w:val="left" w:pos="1485"/>
        </w:tabs>
        <w:jc w:val="both"/>
        <w:rPr>
          <w:sz w:val="23"/>
          <w:szCs w:val="23"/>
        </w:rPr>
      </w:pPr>
    </w:p>
    <w:p w:rsidR="006251B8" w:rsidRPr="006D6907" w:rsidRDefault="006251B8" w:rsidP="000D2A4A">
      <w:pPr>
        <w:tabs>
          <w:tab w:val="left" w:pos="1485"/>
        </w:tabs>
        <w:jc w:val="both"/>
      </w:pPr>
      <w:r w:rsidRPr="00A837DC">
        <w:rPr>
          <w:b/>
        </w:rPr>
        <w:t>Baza e taksës:</w:t>
      </w:r>
      <w:r w:rsidR="00293824">
        <w:rPr>
          <w:b/>
        </w:rPr>
        <w:t xml:space="preserve"> </w:t>
      </w:r>
      <w:r w:rsidRPr="00A837DC">
        <w:rPr>
          <w:b/>
        </w:rPr>
        <w:t>Niveli taksës shprehet si përqindje e vlerës së investimit</w:t>
      </w:r>
      <w:r w:rsidRPr="006D6907">
        <w:t>.</w:t>
      </w:r>
    </w:p>
    <w:p w:rsidR="00894455" w:rsidRDefault="006251B8" w:rsidP="000D2A4A">
      <w:pPr>
        <w:tabs>
          <w:tab w:val="left" w:pos="1485"/>
        </w:tabs>
        <w:jc w:val="both"/>
      </w:pPr>
      <w:r w:rsidRPr="006D6907">
        <w:t>Detyrimi</w:t>
      </w:r>
      <w:r w:rsidR="00293824">
        <w:t xml:space="preserve"> </w:t>
      </w:r>
      <w:r w:rsidR="00091A25">
        <w:t>dhe kë</w:t>
      </w:r>
      <w:r w:rsidRPr="006D6907">
        <w:t>stet e pagimit: Detyrimi për taksën i takon investitorit.</w:t>
      </w:r>
    </w:p>
    <w:p w:rsidR="00F47F8B" w:rsidRPr="006D6907" w:rsidRDefault="00F47F8B" w:rsidP="000D2A4A">
      <w:pPr>
        <w:tabs>
          <w:tab w:val="left" w:pos="1485"/>
        </w:tabs>
        <w:jc w:val="both"/>
      </w:pPr>
    </w:p>
    <w:p w:rsidR="00894455" w:rsidRDefault="00894455" w:rsidP="00FB1170">
      <w:pPr>
        <w:tabs>
          <w:tab w:val="left" w:pos="1485"/>
        </w:tabs>
        <w:rPr>
          <w:rFonts w:ascii="ArialMT" w:hAnsi="ArialMT"/>
          <w:color w:val="BF8F00"/>
          <w:sz w:val="22"/>
          <w:szCs w:val="22"/>
        </w:rPr>
      </w:pPr>
      <w:r w:rsidRPr="00091A25">
        <w:rPr>
          <w:rFonts w:ascii="ArialMT" w:hAnsi="ArialMT"/>
          <w:color w:val="FFC000"/>
          <w:sz w:val="22"/>
          <w:szCs w:val="22"/>
        </w:rPr>
        <w:t xml:space="preserve"> (Ndryshuar me Ligj Nr. 142/2015, datë 17.12.2015. Botuar n</w:t>
      </w:r>
      <w:r w:rsidR="00FB1170">
        <w:rPr>
          <w:rFonts w:ascii="ArialMT" w:hAnsi="ArialMT"/>
          <w:color w:val="FFC000"/>
          <w:sz w:val="22"/>
          <w:szCs w:val="22"/>
        </w:rPr>
        <w:t xml:space="preserve">ë Fletoren Zyrtare Nr.252, datë </w:t>
      </w:r>
      <w:r w:rsidRPr="00091A25">
        <w:rPr>
          <w:rFonts w:ascii="ArialMT" w:hAnsi="ArialMT"/>
          <w:color w:val="FFC000"/>
          <w:sz w:val="22"/>
          <w:szCs w:val="22"/>
        </w:rPr>
        <w:t>22.01.2016)</w:t>
      </w:r>
      <w:r w:rsidRPr="00091A25">
        <w:rPr>
          <w:rFonts w:ascii="ArialMT" w:hAnsi="ArialMT"/>
          <w:color w:val="FFC000"/>
          <w:sz w:val="22"/>
          <w:szCs w:val="22"/>
        </w:rPr>
        <w:br/>
      </w:r>
      <w:r w:rsidRPr="00091A25">
        <w:rPr>
          <w:rFonts w:ascii="ArialMT" w:hAnsi="ArialMT"/>
          <w:color w:val="8560A0"/>
          <w:sz w:val="22"/>
          <w:szCs w:val="22"/>
        </w:rPr>
        <w:t>(Ndryshuar me Ligj Nr. 106/2017, datë 30.11.2017. Botuar n</w:t>
      </w:r>
      <w:r w:rsidR="00FB1170">
        <w:rPr>
          <w:rFonts w:ascii="ArialMT" w:hAnsi="ArialMT"/>
          <w:color w:val="8560A0"/>
          <w:sz w:val="22"/>
          <w:szCs w:val="22"/>
        </w:rPr>
        <w:t xml:space="preserve">ë Fletoren Zyrtare Nr.222, datë </w:t>
      </w:r>
      <w:r w:rsidRPr="00091A25">
        <w:rPr>
          <w:rFonts w:ascii="ArialMT" w:hAnsi="ArialMT"/>
          <w:color w:val="8560A0"/>
          <w:sz w:val="22"/>
          <w:szCs w:val="22"/>
        </w:rPr>
        <w:t>19.12.2017)</w:t>
      </w:r>
      <w:r w:rsidRPr="00091A25">
        <w:rPr>
          <w:rFonts w:ascii="ArialMT" w:hAnsi="ArialMT"/>
          <w:color w:val="8560A0"/>
          <w:sz w:val="22"/>
          <w:szCs w:val="22"/>
        </w:rPr>
        <w:br/>
      </w:r>
      <w:r w:rsidRPr="00091A25">
        <w:rPr>
          <w:rFonts w:ascii="ArialMT" w:hAnsi="ArialMT"/>
          <w:color w:val="0070C0"/>
          <w:sz w:val="22"/>
          <w:szCs w:val="22"/>
        </w:rPr>
        <w:lastRenderedPageBreak/>
        <w:t>(Ndryshuar me Ligj Nr. 41/2018, datë 09.07.2018. Botuar në Fletoren Zyrtare Nr.111, datë</w:t>
      </w:r>
      <w:r w:rsidRPr="00091A25">
        <w:rPr>
          <w:rFonts w:ascii="ArialMT" w:hAnsi="ArialMT"/>
          <w:color w:val="0070C0"/>
          <w:sz w:val="22"/>
          <w:szCs w:val="22"/>
        </w:rPr>
        <w:br/>
        <w:t>30.07.2018. Ky ligj botohet në Fletoren Zyrtare dhe hyn në fuqi më 1 janar 2019)</w:t>
      </w:r>
      <w:r w:rsidRPr="00091A25">
        <w:rPr>
          <w:rFonts w:ascii="ArialMT" w:hAnsi="ArialMT"/>
          <w:color w:val="0070C0"/>
          <w:sz w:val="22"/>
          <w:szCs w:val="22"/>
        </w:rPr>
        <w:br/>
      </w:r>
      <w:r w:rsidRPr="00091A25">
        <w:rPr>
          <w:rFonts w:ascii="ArialMT" w:hAnsi="ArialMT"/>
          <w:color w:val="A8D08D"/>
          <w:sz w:val="22"/>
          <w:szCs w:val="22"/>
        </w:rPr>
        <w:t>Ndryshuar me ligjin nr. 95/2018, datë 03.12.2018, botuar në F.Z. nr.187, dt.27.12.2018</w:t>
      </w:r>
      <w:r w:rsidRPr="00091A25">
        <w:rPr>
          <w:rFonts w:ascii="ArialMT" w:hAnsi="ArialMT"/>
          <w:color w:val="A8D08D"/>
          <w:sz w:val="22"/>
          <w:szCs w:val="22"/>
        </w:rPr>
        <w:br/>
      </w:r>
      <w:r>
        <w:rPr>
          <w:rFonts w:ascii="ArialMT" w:hAnsi="ArialMT"/>
          <w:color w:val="BF8F00"/>
          <w:sz w:val="22"/>
          <w:szCs w:val="22"/>
        </w:rPr>
        <w:t>(Shtuar me Aktin Normativ Nr.</w:t>
      </w:r>
      <w:r w:rsidRPr="00091A25">
        <w:rPr>
          <w:rFonts w:ascii="ArialMT" w:hAnsi="ArialMT"/>
          <w:color w:val="BF8F00"/>
          <w:sz w:val="22"/>
          <w:szCs w:val="22"/>
        </w:rPr>
        <w:t>3, datë 2.10.2019, botuar në F.Z. nr.137,</w:t>
      </w:r>
      <w:r w:rsidR="00FB1170">
        <w:rPr>
          <w:rFonts w:ascii="ArialMT" w:hAnsi="ArialMT"/>
          <w:color w:val="BF8F00"/>
        </w:rPr>
        <w:t xml:space="preserve"> </w:t>
      </w:r>
      <w:r w:rsidRPr="00091A25">
        <w:rPr>
          <w:rFonts w:ascii="ArialMT" w:hAnsi="ArialMT"/>
          <w:color w:val="BF8F00"/>
          <w:sz w:val="22"/>
          <w:szCs w:val="22"/>
        </w:rPr>
        <w:t>dt.07.10.2019)</w:t>
      </w:r>
    </w:p>
    <w:p w:rsidR="00F47F8B" w:rsidRPr="006D6907" w:rsidRDefault="00F47F8B" w:rsidP="00FB1170">
      <w:pPr>
        <w:tabs>
          <w:tab w:val="left" w:pos="1485"/>
        </w:tabs>
      </w:pPr>
    </w:p>
    <w:p w:rsidR="006251B8" w:rsidRPr="00FB1170" w:rsidRDefault="006251B8" w:rsidP="00D03A65">
      <w:pPr>
        <w:tabs>
          <w:tab w:val="left" w:pos="1485"/>
        </w:tabs>
        <w:spacing w:before="80" w:after="80"/>
        <w:jc w:val="both"/>
        <w:rPr>
          <w:b/>
          <w:color w:val="1F497D" w:themeColor="text2"/>
        </w:rPr>
      </w:pPr>
      <w:r w:rsidRPr="00FB1170">
        <w:rPr>
          <w:b/>
          <w:color w:val="1F497D" w:themeColor="text2"/>
        </w:rPr>
        <w:t xml:space="preserve">Struktura për vjeljen e kësaj takse është Drejtoria e Planifikimit dhe Kontrollit të Zhvillimit të Territorit. </w:t>
      </w:r>
    </w:p>
    <w:p w:rsidR="006251B8" w:rsidRPr="006D6907" w:rsidRDefault="006251B8" w:rsidP="006D6907">
      <w:pPr>
        <w:tabs>
          <w:tab w:val="left" w:pos="1485"/>
        </w:tabs>
        <w:spacing w:after="180"/>
        <w:jc w:val="both"/>
        <w:rPr>
          <w:b/>
          <w:color w:val="000000"/>
          <w:lang w:val="it-IT"/>
        </w:rPr>
      </w:pPr>
    </w:p>
    <w:p w:rsidR="006251B8" w:rsidRPr="00775706" w:rsidRDefault="006251B8" w:rsidP="00775706">
      <w:pPr>
        <w:pStyle w:val="Heading1"/>
        <w:shd w:val="clear" w:color="auto" w:fill="95B3D7" w:themeFill="accent1" w:themeFillTint="99"/>
        <w:jc w:val="left"/>
      </w:pPr>
      <w:bookmarkStart w:id="4" w:name="_Toc531004726"/>
      <w:r w:rsidRPr="00775706">
        <w:t>C.11.TARIFAT QE DO TË APLIKOHEN PËR MBIKEQYRJEN E PUNIMEVE</w:t>
      </w:r>
      <w:bookmarkEnd w:id="4"/>
      <w:r w:rsidR="00A544B1">
        <w:t xml:space="preserve"> TE LEJEVE  T</w:t>
      </w:r>
      <w:r w:rsidR="000003FD" w:rsidRPr="00775706">
        <w:t>Ë</w:t>
      </w:r>
      <w:r w:rsidR="00A544B1">
        <w:t xml:space="preserve"> ND</w:t>
      </w:r>
      <w:r w:rsidR="000003FD" w:rsidRPr="00775706">
        <w:t>Ë</w:t>
      </w:r>
      <w:r w:rsidR="00A544B1">
        <w:t>RTIMIT</w:t>
      </w:r>
    </w:p>
    <w:p w:rsidR="006251B8" w:rsidRPr="006D6907" w:rsidRDefault="006251B8" w:rsidP="006D6907">
      <w:pPr>
        <w:spacing w:after="200"/>
        <w:jc w:val="both"/>
        <w:rPr>
          <w:b/>
        </w:rPr>
      </w:pPr>
    </w:p>
    <w:tbl>
      <w:tblPr>
        <w:tblStyle w:val="LightList-Accent12"/>
        <w:tblW w:w="0" w:type="auto"/>
        <w:tblLook w:val="04A0"/>
      </w:tblPr>
      <w:tblGrid>
        <w:gridCol w:w="572"/>
        <w:gridCol w:w="5165"/>
        <w:gridCol w:w="1623"/>
        <w:gridCol w:w="1974"/>
      </w:tblGrid>
      <w:tr w:rsidR="006251B8" w:rsidRPr="006D6907" w:rsidTr="007E09C1">
        <w:trPr>
          <w:cnfStyle w:val="100000000000"/>
          <w:trHeight w:val="534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80" w:after="40"/>
              <w:jc w:val="both"/>
              <w:rPr>
                <w:sz w:val="24"/>
                <w:szCs w:val="24"/>
                <w:lang w:val="it-IT"/>
              </w:rPr>
            </w:pPr>
            <w:r w:rsidRPr="006D6907">
              <w:rPr>
                <w:sz w:val="24"/>
                <w:szCs w:val="24"/>
                <w:lang w:val="it-IT"/>
              </w:rPr>
              <w:t>Nr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sz w:val="24"/>
                <w:szCs w:val="24"/>
                <w:lang w:val="it-IT"/>
              </w:rPr>
            </w:pPr>
            <w:r w:rsidRPr="006D6907">
              <w:rPr>
                <w:sz w:val="24"/>
                <w:szCs w:val="24"/>
                <w:lang w:val="it-IT"/>
              </w:rPr>
              <w:t>Katëgoritë dhe nënkatëgoritë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Nj</w:t>
            </w:r>
            <w:r w:rsidRPr="006D6907">
              <w:rPr>
                <w:lang w:val="it-IT" w:eastAsia="it-IT"/>
              </w:rPr>
              <w:t>ë</w:t>
            </w:r>
            <w:r w:rsidRPr="006D6907">
              <w:rPr>
                <w:lang w:val="it-IT"/>
              </w:rPr>
              <w:t>sia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80" w:after="40"/>
              <w:jc w:val="center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Tarifa</w:t>
            </w:r>
          </w:p>
          <w:p w:rsidR="006251B8" w:rsidRPr="006D6907" w:rsidRDefault="006251B8" w:rsidP="00F900AD">
            <w:pPr>
              <w:spacing w:before="80" w:after="40"/>
              <w:jc w:val="center"/>
              <w:cnfStyle w:val="100000000000"/>
              <w:rPr>
                <w:lang w:val="it-IT"/>
              </w:rPr>
            </w:pPr>
            <w:r w:rsidRPr="006D6907">
              <w:rPr>
                <w:sz w:val="20"/>
                <w:szCs w:val="20"/>
                <w:lang w:val="it-IT"/>
              </w:rPr>
              <w:t>(Lekë/njësi)</w:t>
            </w:r>
          </w:p>
        </w:tc>
      </w:tr>
      <w:tr w:rsidR="006251B8" w:rsidRPr="006D6907" w:rsidTr="007E09C1">
        <w:trPr>
          <w:cnfStyle w:val="000000100000"/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1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 ngritjen e kantierit dhe murit rrethues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ml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50</w:t>
            </w:r>
          </w:p>
        </w:tc>
      </w:tr>
      <w:tr w:rsidR="006251B8" w:rsidRPr="006D6907" w:rsidTr="007E09C1">
        <w:trPr>
          <w:trHeight w:val="297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2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Piketimi i strukturës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m²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50</w:t>
            </w:r>
          </w:p>
        </w:tc>
      </w:tr>
      <w:tr w:rsidR="006251B8" w:rsidRPr="006D6907" w:rsidTr="007E09C1">
        <w:trPr>
          <w:cnfStyle w:val="000000100000"/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3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Përfundimi i themeleve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m²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50</w:t>
            </w:r>
          </w:p>
        </w:tc>
      </w:tr>
      <w:tr w:rsidR="006251B8" w:rsidRPr="006D6907" w:rsidTr="007E09C1">
        <w:trPr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4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Përfundimi i karabinase së objektit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m²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20</w:t>
            </w:r>
          </w:p>
        </w:tc>
      </w:tr>
      <w:tr w:rsidR="006251B8" w:rsidRPr="006D6907" w:rsidTr="007E09C1">
        <w:trPr>
          <w:cnfStyle w:val="000000100000"/>
          <w:trHeight w:val="40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5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Përfundimi i fasadave dhe rifinitures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m² për fasade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20</w:t>
            </w:r>
          </w:p>
        </w:tc>
      </w:tr>
      <w:tr w:rsidR="006251B8" w:rsidRPr="006D6907" w:rsidTr="007E09C1">
        <w:trPr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6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 xml:space="preserve">Përfundimin e sistemimit të jashtëm 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m² (shesh)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30</w:t>
            </w:r>
          </w:p>
        </w:tc>
      </w:tr>
      <w:tr w:rsidR="006251B8" w:rsidRPr="006D6907" w:rsidTr="007E09C1">
        <w:trPr>
          <w:cnfStyle w:val="000000100000"/>
          <w:trHeight w:val="297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7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 xml:space="preserve">Leje përdorimi 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m³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20</w:t>
            </w:r>
          </w:p>
        </w:tc>
      </w:tr>
      <w:tr w:rsidR="006251B8" w:rsidRPr="006D6907" w:rsidTr="007E09C1">
        <w:trPr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8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Shërbime të ndryshme (sipas VKM nr 408)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Shërbim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10.000</w:t>
            </w:r>
          </w:p>
        </w:tc>
      </w:tr>
      <w:tr w:rsidR="00846E4B" w:rsidRPr="006D6907" w:rsidTr="007E09C1">
        <w:trPr>
          <w:cnfStyle w:val="000000100000"/>
          <w:trHeight w:val="313"/>
        </w:trPr>
        <w:tc>
          <w:tcPr>
            <w:cnfStyle w:val="001000000000"/>
            <w:tcW w:w="572" w:type="dxa"/>
          </w:tcPr>
          <w:p w:rsidR="00846E4B" w:rsidRPr="006D6907" w:rsidRDefault="00846E4B" w:rsidP="00846E4B">
            <w:pPr>
              <w:spacing w:before="20" w:after="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9</w:t>
            </w:r>
          </w:p>
        </w:tc>
        <w:tc>
          <w:tcPr>
            <w:tcW w:w="5165" w:type="dxa"/>
          </w:tcPr>
          <w:p w:rsidR="00846E4B" w:rsidRPr="00012183" w:rsidRDefault="00846E4B" w:rsidP="000156F3">
            <w:pPr>
              <w:spacing w:before="20" w:after="20"/>
              <w:cnfStyle w:val="000000100000"/>
              <w:rPr>
                <w:color w:val="000000" w:themeColor="text1"/>
                <w:lang w:val="it-IT"/>
              </w:rPr>
            </w:pPr>
            <w:r w:rsidRPr="00012183">
              <w:rPr>
                <w:color w:val="000000" w:themeColor="text1"/>
                <w:lang w:val="it-IT"/>
              </w:rPr>
              <w:t xml:space="preserve">Shërbime të ndryshme (posedues objekti dhe pa </w:t>
            </w:r>
            <w:r w:rsidR="000156F3">
              <w:rPr>
                <w:color w:val="000000" w:themeColor="text1"/>
                <w:lang w:val="it-IT"/>
              </w:rPr>
              <w:t>leje banimi</w:t>
            </w:r>
            <w:r w:rsidRPr="00012183">
              <w:rPr>
                <w:color w:val="000000" w:themeColor="text1"/>
                <w:lang w:val="it-IT"/>
              </w:rPr>
              <w:t>)</w:t>
            </w:r>
          </w:p>
        </w:tc>
        <w:tc>
          <w:tcPr>
            <w:tcW w:w="1623" w:type="dxa"/>
          </w:tcPr>
          <w:p w:rsidR="00846E4B" w:rsidRPr="00012183" w:rsidRDefault="00846E4B" w:rsidP="00846E4B">
            <w:pPr>
              <w:spacing w:before="20" w:after="20"/>
              <w:jc w:val="both"/>
              <w:cnfStyle w:val="000000100000"/>
              <w:rPr>
                <w:color w:val="000000" w:themeColor="text1"/>
                <w:lang w:val="it-IT"/>
              </w:rPr>
            </w:pPr>
            <w:r w:rsidRPr="00012183">
              <w:rPr>
                <w:color w:val="000000" w:themeColor="text1"/>
                <w:lang w:val="it-IT"/>
              </w:rPr>
              <w:t>Shërbim</w:t>
            </w:r>
          </w:p>
        </w:tc>
        <w:tc>
          <w:tcPr>
            <w:tcW w:w="1974" w:type="dxa"/>
          </w:tcPr>
          <w:p w:rsidR="00846E4B" w:rsidRPr="00012183" w:rsidRDefault="00846E4B" w:rsidP="00846E4B">
            <w:pPr>
              <w:spacing w:before="20" w:after="20"/>
              <w:jc w:val="center"/>
              <w:cnfStyle w:val="000000100000"/>
              <w:rPr>
                <w:color w:val="000000" w:themeColor="text1"/>
                <w:lang w:val="it-IT"/>
              </w:rPr>
            </w:pPr>
            <w:r w:rsidRPr="00012183">
              <w:rPr>
                <w:color w:val="000000" w:themeColor="text1"/>
                <w:lang w:val="it-IT"/>
              </w:rPr>
              <w:t>20.000</w:t>
            </w:r>
          </w:p>
        </w:tc>
      </w:tr>
    </w:tbl>
    <w:p w:rsidR="006251B8" w:rsidRPr="006D6907" w:rsidRDefault="006251B8" w:rsidP="006D6907">
      <w:pPr>
        <w:jc w:val="both"/>
        <w:rPr>
          <w:lang w:val="it-IT"/>
        </w:rPr>
      </w:pPr>
    </w:p>
    <w:p w:rsidR="00846E4B" w:rsidRPr="00E80E4F" w:rsidRDefault="00846E4B" w:rsidP="00E80E4F">
      <w:pPr>
        <w:spacing w:after="200"/>
        <w:jc w:val="both"/>
        <w:rPr>
          <w:b/>
          <w:lang w:val="it-IT"/>
        </w:rPr>
      </w:pPr>
    </w:p>
    <w:p w:rsidR="006251B8" w:rsidRPr="00775706" w:rsidRDefault="006251B8" w:rsidP="00775706">
      <w:pPr>
        <w:pStyle w:val="Heading1"/>
        <w:shd w:val="clear" w:color="auto" w:fill="95B3D7" w:themeFill="accent1" w:themeFillTint="99"/>
        <w:jc w:val="left"/>
      </w:pPr>
      <w:bookmarkStart w:id="5" w:name="_Toc531004728"/>
      <w:r w:rsidRPr="00775706">
        <w:t>C.11.2 TARIFA E SHQYRTIMIT TE KERKESES PER LEJE PUNIMESH</w:t>
      </w:r>
      <w:bookmarkEnd w:id="5"/>
    </w:p>
    <w:p w:rsidR="006251B8" w:rsidRPr="006D6907" w:rsidRDefault="006251B8" w:rsidP="006D6907">
      <w:pPr>
        <w:jc w:val="both"/>
        <w:outlineLvl w:val="0"/>
        <w:rPr>
          <w:b/>
          <w:lang w:val="it-IT"/>
        </w:rPr>
      </w:pPr>
    </w:p>
    <w:tbl>
      <w:tblPr>
        <w:tblStyle w:val="LightList-Accent12"/>
        <w:tblW w:w="9691" w:type="dxa"/>
        <w:tblLook w:val="04A0"/>
      </w:tblPr>
      <w:tblGrid>
        <w:gridCol w:w="594"/>
        <w:gridCol w:w="5363"/>
        <w:gridCol w:w="1684"/>
        <w:gridCol w:w="2050"/>
      </w:tblGrid>
      <w:tr w:rsidR="006251B8" w:rsidRPr="006D6907" w:rsidTr="004C775F">
        <w:trPr>
          <w:cnfStyle w:val="100000000000"/>
          <w:trHeight w:val="556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80" w:after="40"/>
              <w:jc w:val="both"/>
              <w:rPr>
                <w:sz w:val="24"/>
                <w:szCs w:val="24"/>
                <w:lang w:val="it-IT"/>
              </w:rPr>
            </w:pPr>
            <w:r w:rsidRPr="006D6907">
              <w:rPr>
                <w:sz w:val="24"/>
                <w:szCs w:val="24"/>
                <w:lang w:val="it-IT"/>
              </w:rPr>
              <w:t>Nr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sz w:val="24"/>
                <w:szCs w:val="24"/>
                <w:lang w:val="it-IT"/>
              </w:rPr>
            </w:pPr>
            <w:r w:rsidRPr="006D6907">
              <w:rPr>
                <w:sz w:val="24"/>
                <w:szCs w:val="24"/>
                <w:lang w:val="it-IT"/>
              </w:rPr>
              <w:t>Kategoritë dhe nënkategoritë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Nj</w:t>
            </w:r>
            <w:r w:rsidRPr="006D6907">
              <w:rPr>
                <w:lang w:val="it-IT" w:eastAsia="it-IT"/>
              </w:rPr>
              <w:t>ë</w:t>
            </w:r>
            <w:r w:rsidRPr="006D6907">
              <w:rPr>
                <w:lang w:val="it-IT"/>
              </w:rPr>
              <w:t>sia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 xml:space="preserve">Tarifa </w:t>
            </w:r>
          </w:p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lang w:val="it-IT"/>
              </w:rPr>
            </w:pPr>
            <w:r w:rsidRPr="006D6907">
              <w:rPr>
                <w:sz w:val="20"/>
                <w:szCs w:val="20"/>
                <w:lang w:val="it-IT"/>
              </w:rPr>
              <w:t>(Lekë/leje)</w:t>
            </w:r>
          </w:p>
        </w:tc>
      </w:tr>
      <w:tr w:rsidR="006251B8" w:rsidRPr="006D6907" w:rsidTr="004C775F">
        <w:trPr>
          <w:cnfStyle w:val="000000100000"/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lang w:val="it-IT"/>
              </w:rPr>
            </w:pPr>
            <w:r w:rsidRPr="006D6907">
              <w:rPr>
                <w:lang w:val="it-IT"/>
              </w:rPr>
              <w:t>1.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>Për leje zhvillimi,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>leke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</w:p>
        </w:tc>
      </w:tr>
      <w:tr w:rsidR="006251B8" w:rsidRPr="006D6907" w:rsidTr="004C775F">
        <w:trPr>
          <w:trHeight w:val="309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a-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Për objekte banimi deri në 250 m²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lek</w:t>
            </w:r>
            <w:r w:rsidR="009C1094">
              <w:rPr>
                <w:lang w:val="it-IT"/>
              </w:rPr>
              <w:t>ë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10.000</w:t>
            </w:r>
          </w:p>
        </w:tc>
      </w:tr>
      <w:tr w:rsidR="006251B8" w:rsidRPr="006D6907" w:rsidTr="004C775F">
        <w:trPr>
          <w:cnfStyle w:val="000000100000"/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b-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 objekte shërbimi dhe banimi mbi</w:t>
            </w:r>
            <w:r w:rsidR="00213129">
              <w:rPr>
                <w:lang w:val="it-IT"/>
              </w:rPr>
              <w:t xml:space="preserve"> </w:t>
            </w:r>
            <w:r w:rsidRPr="006D6907">
              <w:rPr>
                <w:lang w:val="it-IT"/>
              </w:rPr>
              <w:t>250 m²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lek</w:t>
            </w:r>
            <w:r w:rsidR="009C1094">
              <w:rPr>
                <w:lang w:val="it-IT"/>
              </w:rPr>
              <w:t>ë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20.000</w:t>
            </w:r>
          </w:p>
        </w:tc>
      </w:tr>
      <w:tr w:rsidR="006251B8" w:rsidRPr="006D6907" w:rsidTr="004C775F">
        <w:trPr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2-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b/>
                <w:lang w:val="it-IT"/>
              </w:rPr>
              <w:t>Deklarat</w:t>
            </w:r>
            <w:r w:rsidRPr="006D6907">
              <w:rPr>
                <w:lang w:val="it-IT"/>
              </w:rPr>
              <w:t>ë</w:t>
            </w:r>
            <w:r w:rsidRPr="006D6907">
              <w:rPr>
                <w:b/>
                <w:lang w:val="it-IT"/>
              </w:rPr>
              <w:t xml:space="preserve"> Paraprake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</w:p>
        </w:tc>
      </w:tr>
      <w:tr w:rsidR="006251B8" w:rsidRPr="006D6907" w:rsidTr="004C775F">
        <w:trPr>
          <w:cnfStyle w:val="000000100000"/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a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Deklaratë</w:t>
            </w:r>
            <w:r w:rsidR="009C1094">
              <w:rPr>
                <w:lang w:val="it-IT"/>
              </w:rPr>
              <w:t xml:space="preserve"> </w:t>
            </w:r>
            <w:r w:rsidRPr="006D6907">
              <w:rPr>
                <w:lang w:val="it-IT"/>
              </w:rPr>
              <w:t>paraprake për banim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lek</w:t>
            </w:r>
            <w:r w:rsidR="009C1094">
              <w:rPr>
                <w:lang w:val="it-IT"/>
              </w:rPr>
              <w:t>ë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30.000</w:t>
            </w:r>
          </w:p>
        </w:tc>
      </w:tr>
      <w:tr w:rsidR="006251B8" w:rsidRPr="006D6907" w:rsidTr="004C775F">
        <w:trPr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b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Deklaratë</w:t>
            </w:r>
            <w:r w:rsidR="009C1094">
              <w:rPr>
                <w:lang w:val="it-IT"/>
              </w:rPr>
              <w:t xml:space="preserve"> </w:t>
            </w:r>
            <w:r w:rsidRPr="006D6907">
              <w:rPr>
                <w:lang w:val="it-IT"/>
              </w:rPr>
              <w:t>paraprake për</w:t>
            </w:r>
            <w:r w:rsidR="009C1094">
              <w:rPr>
                <w:lang w:val="it-IT"/>
              </w:rPr>
              <w:t xml:space="preserve"> </w:t>
            </w:r>
            <w:r w:rsidRPr="006D6907">
              <w:rPr>
                <w:lang w:val="it-IT"/>
              </w:rPr>
              <w:t>shërbim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lek</w:t>
            </w:r>
            <w:r w:rsidR="009C1094">
              <w:rPr>
                <w:lang w:val="it-IT"/>
              </w:rPr>
              <w:t>ë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50.000</w:t>
            </w:r>
          </w:p>
        </w:tc>
      </w:tr>
      <w:tr w:rsidR="006251B8" w:rsidRPr="006D6907" w:rsidTr="004C775F">
        <w:trPr>
          <w:cnfStyle w:val="000000100000"/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120" w:after="100" w:afterAutospacing="1"/>
              <w:jc w:val="both"/>
              <w:rPr>
                <w:lang w:val="it-IT"/>
              </w:rPr>
            </w:pPr>
            <w:r w:rsidRPr="006D6907">
              <w:rPr>
                <w:lang w:val="it-IT"/>
              </w:rPr>
              <w:t>3.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120" w:after="100" w:afterAutospacing="1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>Për leje ndërtimi.,</w:t>
            </w:r>
            <w:r w:rsidR="00213129">
              <w:rPr>
                <w:b/>
                <w:lang w:val="it-IT"/>
              </w:rPr>
              <w:t xml:space="preserve"> </w:t>
            </w:r>
            <w:r w:rsidRPr="006D6907">
              <w:rPr>
                <w:b/>
                <w:lang w:val="it-IT"/>
              </w:rPr>
              <w:t>leje infrastrukture</w:t>
            </w:r>
            <w:r w:rsidR="009F407F">
              <w:rPr>
                <w:b/>
                <w:lang w:val="it-IT"/>
              </w:rPr>
              <w:t>(për të gjitha llojet e lejeve të ndërtimit).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1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%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1% e vleres se investimit</w:t>
            </w:r>
          </w:p>
        </w:tc>
      </w:tr>
    </w:tbl>
    <w:p w:rsidR="006251B8" w:rsidRDefault="006251B8" w:rsidP="006D6907">
      <w:pPr>
        <w:jc w:val="both"/>
        <w:outlineLvl w:val="0"/>
        <w:rPr>
          <w:sz w:val="22"/>
          <w:szCs w:val="22"/>
        </w:rPr>
      </w:pPr>
    </w:p>
    <w:p w:rsidR="00F47F8B" w:rsidRPr="006D6907" w:rsidRDefault="00F47F8B" w:rsidP="006D6907">
      <w:pPr>
        <w:jc w:val="both"/>
        <w:outlineLvl w:val="0"/>
        <w:rPr>
          <w:sz w:val="22"/>
          <w:szCs w:val="22"/>
        </w:rPr>
      </w:pPr>
    </w:p>
    <w:p w:rsidR="006251B8" w:rsidRPr="009F407F" w:rsidRDefault="00FD271E" w:rsidP="009F407F">
      <w:pPr>
        <w:jc w:val="both"/>
        <w:rPr>
          <w:b/>
          <w:lang w:val="it-IT"/>
        </w:rPr>
      </w:pPr>
      <w:bookmarkStart w:id="6" w:name="_Toc530406213"/>
      <w:r>
        <w:rPr>
          <w:b/>
        </w:rPr>
        <w:lastRenderedPageBreak/>
        <w:t>Në</w:t>
      </w:r>
      <w:r w:rsidR="006251B8" w:rsidRPr="009F407F">
        <w:rPr>
          <w:b/>
        </w:rPr>
        <w:t xml:space="preserve"> pikën“</w:t>
      </w:r>
      <w:r w:rsidR="008433F4">
        <w:rPr>
          <w:b/>
        </w:rPr>
        <w:t>3</w:t>
      </w:r>
      <w:r>
        <w:rPr>
          <w:b/>
        </w:rPr>
        <w:t>. Të</w:t>
      </w:r>
      <w:r w:rsidR="00213129">
        <w:rPr>
          <w:b/>
        </w:rPr>
        <w:t xml:space="preserve"> </w:t>
      </w:r>
      <w:r w:rsidR="006251B8" w:rsidRPr="009F407F">
        <w:rPr>
          <w:b/>
        </w:rPr>
        <w:t>C.11.2</w:t>
      </w:r>
      <w:r w:rsidR="00213129">
        <w:rPr>
          <w:b/>
        </w:rPr>
        <w:t xml:space="preserve"> </w:t>
      </w:r>
      <w:r w:rsidR="006251B8" w:rsidRPr="009F407F">
        <w:rPr>
          <w:b/>
          <w:lang w:val="it-IT"/>
        </w:rPr>
        <w:t>Për leje ndërtimi.</w:t>
      </w:r>
      <w:r w:rsidR="00213129">
        <w:rPr>
          <w:b/>
          <w:lang w:val="it-IT"/>
        </w:rPr>
        <w:t>.</w:t>
      </w:r>
      <w:r w:rsidR="006251B8" w:rsidRPr="009F407F">
        <w:rPr>
          <w:b/>
          <w:lang w:val="it-IT"/>
        </w:rPr>
        <w:t>,</w:t>
      </w:r>
      <w:r w:rsidR="00213129">
        <w:rPr>
          <w:b/>
          <w:lang w:val="it-IT"/>
        </w:rPr>
        <w:t xml:space="preserve"> </w:t>
      </w:r>
      <w:r w:rsidR="006251B8" w:rsidRPr="009F407F">
        <w:rPr>
          <w:b/>
          <w:lang w:val="it-IT"/>
        </w:rPr>
        <w:t>leje infrastrukture”</w:t>
      </w:r>
      <w:r w:rsidR="00213129">
        <w:rPr>
          <w:b/>
          <w:lang w:val="it-IT"/>
        </w:rPr>
        <w:t xml:space="preserve"> në</w:t>
      </w:r>
      <w:r w:rsidR="006251B8" w:rsidRPr="009F407F">
        <w:rPr>
          <w:b/>
          <w:lang w:val="it-IT"/>
        </w:rPr>
        <w:t>se subjektit nuk i miratohet</w:t>
      </w:r>
      <w:r w:rsidR="00213129">
        <w:rPr>
          <w:b/>
          <w:lang w:val="it-IT"/>
        </w:rPr>
        <w:t xml:space="preserve"> leja përkatë</w:t>
      </w:r>
      <w:r w:rsidR="006251B8" w:rsidRPr="009F407F">
        <w:rPr>
          <w:b/>
          <w:lang w:val="it-IT"/>
        </w:rPr>
        <w:t xml:space="preserve">se tarifa e paguar i </w:t>
      </w:r>
      <w:r w:rsidR="00213129">
        <w:rPr>
          <w:b/>
          <w:lang w:val="it-IT"/>
        </w:rPr>
        <w:t>kthehet aplikuesit kundrejte një pagese të pakthyeshme si më poshtë</w:t>
      </w:r>
      <w:r w:rsidR="006251B8" w:rsidRPr="009F407F">
        <w:rPr>
          <w:b/>
          <w:lang w:val="it-IT"/>
        </w:rPr>
        <w:t>:</w:t>
      </w:r>
      <w:bookmarkEnd w:id="6"/>
    </w:p>
    <w:p w:rsidR="006251B8" w:rsidRPr="00AD116C" w:rsidRDefault="006251B8" w:rsidP="00AD116C">
      <w:pPr>
        <w:rPr>
          <w:b/>
          <w:lang w:val="it-IT"/>
        </w:rPr>
      </w:pPr>
      <w:bookmarkStart w:id="7" w:name="_Toc530406214"/>
      <w:r w:rsidRPr="00AD116C">
        <w:rPr>
          <w:b/>
          <w:lang w:val="it-IT"/>
        </w:rPr>
        <w:t>-</w:t>
      </w:r>
      <w:bookmarkEnd w:id="7"/>
    </w:p>
    <w:tbl>
      <w:tblPr>
        <w:tblStyle w:val="LightShading-Accent12"/>
        <w:tblW w:w="9612" w:type="dxa"/>
        <w:tblLook w:val="04A0"/>
      </w:tblPr>
      <w:tblGrid>
        <w:gridCol w:w="482"/>
        <w:gridCol w:w="5426"/>
        <w:gridCol w:w="1671"/>
        <w:gridCol w:w="2033"/>
      </w:tblGrid>
      <w:tr w:rsidR="006251B8" w:rsidRPr="006D6907" w:rsidTr="004C775F">
        <w:trPr>
          <w:cnfStyle w:val="100000000000"/>
          <w:trHeight w:val="301"/>
        </w:trPr>
        <w:tc>
          <w:tcPr>
            <w:cnfStyle w:val="001000000000"/>
            <w:tcW w:w="48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lang w:val="it-IT"/>
              </w:rPr>
              <w:t>a-</w:t>
            </w:r>
          </w:p>
        </w:tc>
        <w:tc>
          <w:tcPr>
            <w:tcW w:w="5426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Për objekte banimi deri në 250 m²</w:t>
            </w:r>
          </w:p>
        </w:tc>
        <w:tc>
          <w:tcPr>
            <w:tcW w:w="1671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 xml:space="preserve"> leke</w:t>
            </w:r>
          </w:p>
        </w:tc>
        <w:tc>
          <w:tcPr>
            <w:tcW w:w="203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10.000</w:t>
            </w:r>
          </w:p>
        </w:tc>
      </w:tr>
      <w:tr w:rsidR="006251B8" w:rsidRPr="006D6907" w:rsidTr="004C775F">
        <w:trPr>
          <w:cnfStyle w:val="000000100000"/>
          <w:trHeight w:val="317"/>
        </w:trPr>
        <w:tc>
          <w:tcPr>
            <w:cnfStyle w:val="001000000000"/>
            <w:tcW w:w="48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lang w:val="it-IT"/>
              </w:rPr>
              <w:t>b-</w:t>
            </w:r>
          </w:p>
        </w:tc>
        <w:tc>
          <w:tcPr>
            <w:tcW w:w="5426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 objekte shërbimi dhe banimi mbi</w:t>
            </w:r>
            <w:r w:rsidRPr="006D6907">
              <w:rPr>
                <w:b/>
                <w:lang w:val="it-IT"/>
              </w:rPr>
              <w:t>250</w:t>
            </w:r>
            <w:r w:rsidRPr="006D6907">
              <w:rPr>
                <w:lang w:val="it-IT"/>
              </w:rPr>
              <w:t xml:space="preserve"> m²,infrastrukture</w:t>
            </w:r>
          </w:p>
        </w:tc>
        <w:tc>
          <w:tcPr>
            <w:tcW w:w="1671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 xml:space="preserve"> leke</w:t>
            </w:r>
          </w:p>
        </w:tc>
        <w:tc>
          <w:tcPr>
            <w:tcW w:w="203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>20.000</w:t>
            </w:r>
          </w:p>
        </w:tc>
      </w:tr>
    </w:tbl>
    <w:p w:rsidR="006251B8" w:rsidRPr="006D6907" w:rsidRDefault="006251B8" w:rsidP="006D6907">
      <w:pPr>
        <w:jc w:val="both"/>
        <w:rPr>
          <w:b/>
          <w:color w:val="000000"/>
          <w:lang w:val="it-IT"/>
        </w:rPr>
      </w:pPr>
    </w:p>
    <w:p w:rsidR="006251B8" w:rsidRPr="006D6907" w:rsidRDefault="006251B8" w:rsidP="006D6907">
      <w:pPr>
        <w:tabs>
          <w:tab w:val="left" w:pos="1485"/>
        </w:tabs>
        <w:spacing w:after="120"/>
        <w:jc w:val="both"/>
        <w:rPr>
          <w:b/>
          <w:i/>
        </w:rPr>
      </w:pPr>
      <w:r w:rsidRPr="006D6907">
        <w:rPr>
          <w:b/>
          <w:i/>
          <w:sz w:val="23"/>
          <w:szCs w:val="23"/>
        </w:rPr>
        <w:t>Shënim: Për kategorinë C.11.2 përjashtohen nga tarifat çdo llojiinvestimi që kryhet</w:t>
      </w:r>
      <w:r w:rsidR="003A688F">
        <w:rPr>
          <w:b/>
          <w:i/>
          <w:sz w:val="23"/>
          <w:szCs w:val="23"/>
        </w:rPr>
        <w:t xml:space="preserve"> </w:t>
      </w:r>
      <w:r w:rsidRPr="006D6907">
        <w:rPr>
          <w:b/>
          <w:i/>
          <w:sz w:val="23"/>
          <w:szCs w:val="23"/>
        </w:rPr>
        <w:t>me fondet e Bashkisë.</w:t>
      </w:r>
    </w:p>
    <w:p w:rsidR="006251B8" w:rsidRPr="006D6907" w:rsidRDefault="006251B8" w:rsidP="006D6907">
      <w:pPr>
        <w:jc w:val="both"/>
        <w:rPr>
          <w:b/>
          <w:color w:val="000000"/>
          <w:lang w:val="it-IT"/>
        </w:rPr>
      </w:pPr>
    </w:p>
    <w:p w:rsidR="00835EED" w:rsidRDefault="006251B8" w:rsidP="00FA5A92">
      <w:pPr>
        <w:pStyle w:val="Heading1"/>
        <w:jc w:val="left"/>
        <w:rPr>
          <w:b w:val="0"/>
          <w:color w:val="1F497D" w:themeColor="text2"/>
        </w:rPr>
      </w:pPr>
      <w:r w:rsidRPr="006D6907">
        <w:rPr>
          <w:b w:val="0"/>
          <w:color w:val="1F497D" w:themeColor="text2"/>
          <w:lang w:val="it-IT"/>
        </w:rPr>
        <w:t xml:space="preserve">Struktura për vjeljen e tarifave të mesipërme është </w:t>
      </w:r>
      <w:r w:rsidRPr="006D6907">
        <w:rPr>
          <w:b w:val="0"/>
          <w:color w:val="1F497D" w:themeColor="text2"/>
        </w:rPr>
        <w:t>Drejtoria e Planifikimit dhe Kontrollit të Zhvillimit të Tërritorit pranë Bashkisë Kamëz.</w:t>
      </w:r>
    </w:p>
    <w:p w:rsidR="00835EED" w:rsidRPr="00835EED" w:rsidRDefault="00835EED" w:rsidP="00835EED">
      <w:pPr>
        <w:rPr>
          <w:lang w:val="en-US"/>
        </w:rPr>
      </w:pPr>
    </w:p>
    <w:p w:rsidR="00835EED" w:rsidRPr="00835EED" w:rsidRDefault="00835EED" w:rsidP="00835EED">
      <w:pPr>
        <w:rPr>
          <w:lang w:val="en-US"/>
        </w:rPr>
      </w:pPr>
    </w:p>
    <w:p w:rsidR="008433F4" w:rsidRDefault="008433F4" w:rsidP="008433F4">
      <w:pPr>
        <w:jc w:val="both"/>
      </w:pPr>
      <w:r w:rsidRPr="007A33B1">
        <w:t>Duke ju falënderuar për bashkepunimin,</w:t>
      </w:r>
    </w:p>
    <w:p w:rsidR="00835EED" w:rsidRPr="00835EED" w:rsidRDefault="00835EED" w:rsidP="00835EED">
      <w:pPr>
        <w:rPr>
          <w:lang w:val="en-US"/>
        </w:rPr>
      </w:pPr>
    </w:p>
    <w:p w:rsidR="00835EED" w:rsidRPr="00835EED" w:rsidRDefault="00835EED" w:rsidP="00835EED">
      <w:pPr>
        <w:rPr>
          <w:lang w:val="en-US"/>
        </w:rPr>
      </w:pPr>
    </w:p>
    <w:p w:rsidR="00835EED" w:rsidRPr="00835EED" w:rsidRDefault="00835EED" w:rsidP="00835EED">
      <w:pPr>
        <w:rPr>
          <w:lang w:val="en-US"/>
        </w:rPr>
      </w:pPr>
    </w:p>
    <w:p w:rsidR="00835EED" w:rsidRPr="00835EED" w:rsidRDefault="00835EED" w:rsidP="00835EED">
      <w:pPr>
        <w:rPr>
          <w:lang w:val="en-US"/>
        </w:rPr>
      </w:pPr>
    </w:p>
    <w:p w:rsidR="00835EED" w:rsidRPr="00835EED" w:rsidRDefault="00835EED" w:rsidP="00835EED">
      <w:pPr>
        <w:rPr>
          <w:lang w:val="en-US"/>
        </w:rPr>
      </w:pPr>
    </w:p>
    <w:p w:rsidR="00835EED" w:rsidRDefault="00835EED" w:rsidP="00835EED">
      <w:pPr>
        <w:rPr>
          <w:lang w:val="en-US"/>
        </w:rPr>
      </w:pPr>
    </w:p>
    <w:p w:rsidR="00835EED" w:rsidRPr="00835EED" w:rsidRDefault="00835EED" w:rsidP="00835EED">
      <w:pPr>
        <w:tabs>
          <w:tab w:val="left" w:pos="3630"/>
        </w:tabs>
        <w:outlineLvl w:val="0"/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835EED">
        <w:t xml:space="preserve">Drejtori PKZHT-së  </w:t>
      </w:r>
    </w:p>
    <w:p w:rsidR="00835EED" w:rsidRPr="00835EED" w:rsidRDefault="00835EED" w:rsidP="00835EED">
      <w:pPr>
        <w:jc w:val="center"/>
        <w:rPr>
          <w:lang w:val="en-US"/>
        </w:rPr>
      </w:pPr>
      <w:r>
        <w:rPr>
          <w:lang w:val="en-US"/>
        </w:rPr>
        <w:t xml:space="preserve">            Ark. Erlend Baballëku</w:t>
      </w:r>
    </w:p>
    <w:p w:rsidR="00835EED" w:rsidRPr="00835EED" w:rsidRDefault="00835EED" w:rsidP="00835EED">
      <w:pPr>
        <w:rPr>
          <w:lang w:val="en-US"/>
        </w:rPr>
      </w:pPr>
    </w:p>
    <w:p w:rsidR="00835EED" w:rsidRDefault="00835EED" w:rsidP="00835EED">
      <w:pPr>
        <w:rPr>
          <w:lang w:val="en-US"/>
        </w:rPr>
      </w:pPr>
    </w:p>
    <w:p w:rsidR="00835EED" w:rsidRDefault="00835EED" w:rsidP="00835EED">
      <w:pPr>
        <w:rPr>
          <w:lang w:val="en-US"/>
        </w:rPr>
      </w:pPr>
    </w:p>
    <w:p w:rsidR="00835EED" w:rsidRDefault="00835EED" w:rsidP="00835EED">
      <w:pPr>
        <w:rPr>
          <w:lang w:val="en-US"/>
        </w:rPr>
      </w:pPr>
    </w:p>
    <w:p w:rsidR="00835EED" w:rsidRPr="00835EED" w:rsidRDefault="00835EED" w:rsidP="00835EED">
      <w:pPr>
        <w:rPr>
          <w:lang w:val="en-US"/>
        </w:rPr>
      </w:pPr>
    </w:p>
    <w:p w:rsidR="00835EED" w:rsidRPr="00835EED" w:rsidRDefault="00835EED" w:rsidP="00835EED">
      <w:pPr>
        <w:rPr>
          <w:lang w:val="en-US"/>
        </w:rPr>
      </w:pPr>
    </w:p>
    <w:p w:rsidR="00835EED" w:rsidRPr="00810395" w:rsidRDefault="00835EED" w:rsidP="00835EED">
      <w:pPr>
        <w:tabs>
          <w:tab w:val="left" w:pos="3630"/>
        </w:tabs>
        <w:outlineLvl w:val="0"/>
        <w:rPr>
          <w:sz w:val="18"/>
          <w:szCs w:val="18"/>
        </w:rPr>
      </w:pPr>
      <w:r w:rsidRPr="00810395">
        <w:rPr>
          <w:sz w:val="18"/>
          <w:szCs w:val="18"/>
        </w:rPr>
        <w:t xml:space="preserve">Specialiste          </w:t>
      </w:r>
      <w:r w:rsidRPr="00810395">
        <w:rPr>
          <w:sz w:val="18"/>
          <w:szCs w:val="18"/>
          <w:u w:val="single"/>
        </w:rPr>
        <w:t>F. Rustemaj</w:t>
      </w:r>
    </w:p>
    <w:p w:rsidR="006251B8" w:rsidRPr="00835EED" w:rsidRDefault="006251B8" w:rsidP="00835EED">
      <w:pPr>
        <w:rPr>
          <w:lang w:val="en-US"/>
        </w:rPr>
      </w:pPr>
    </w:p>
    <w:sectPr w:rsidR="006251B8" w:rsidRPr="00835EED" w:rsidSect="00F47F8B">
      <w:footerReference w:type="default" r:id="rId9"/>
      <w:pgSz w:w="12240" w:h="15840"/>
      <w:pgMar w:top="1260" w:right="1080" w:bottom="274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20" w:rsidRDefault="00671220" w:rsidP="003807EB">
      <w:r>
        <w:separator/>
      </w:r>
    </w:p>
  </w:endnote>
  <w:endnote w:type="continuationSeparator" w:id="1">
    <w:p w:rsidR="00671220" w:rsidRDefault="00671220" w:rsidP="0038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93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170" w:rsidRDefault="00DA4E27">
        <w:pPr>
          <w:pStyle w:val="Footer"/>
          <w:jc w:val="right"/>
        </w:pPr>
        <w:fldSimple w:instr=" PAGE   \* MERGEFORMAT ">
          <w:r w:rsidR="00806FEC">
            <w:rPr>
              <w:noProof/>
            </w:rPr>
            <w:t>1</w:t>
          </w:r>
        </w:fldSimple>
      </w:p>
    </w:sdtContent>
  </w:sdt>
  <w:p w:rsidR="00FB1170" w:rsidRDefault="00FB1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20" w:rsidRDefault="00671220" w:rsidP="003807EB">
      <w:r>
        <w:separator/>
      </w:r>
    </w:p>
  </w:footnote>
  <w:footnote w:type="continuationSeparator" w:id="1">
    <w:p w:rsidR="00671220" w:rsidRDefault="00671220" w:rsidP="00380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EB"/>
      </v:shape>
    </w:pict>
  </w:numPicBullet>
  <w:abstractNum w:abstractNumId="0">
    <w:nsid w:val="01375591"/>
    <w:multiLevelType w:val="hybridMultilevel"/>
    <w:tmpl w:val="5D283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3F0"/>
    <w:multiLevelType w:val="hybridMultilevel"/>
    <w:tmpl w:val="E516FCF2"/>
    <w:lvl w:ilvl="0" w:tplc="6240C3C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669F"/>
    <w:multiLevelType w:val="hybridMultilevel"/>
    <w:tmpl w:val="10A04AB0"/>
    <w:lvl w:ilvl="0" w:tplc="48323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8594C"/>
    <w:multiLevelType w:val="hybridMultilevel"/>
    <w:tmpl w:val="8E96A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4676"/>
    <w:multiLevelType w:val="hybridMultilevel"/>
    <w:tmpl w:val="BA5014BA"/>
    <w:lvl w:ilvl="0" w:tplc="7DCA45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4168F"/>
    <w:multiLevelType w:val="hybridMultilevel"/>
    <w:tmpl w:val="8A94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7453"/>
    <w:multiLevelType w:val="hybridMultilevel"/>
    <w:tmpl w:val="C25AA0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36821"/>
    <w:multiLevelType w:val="hybridMultilevel"/>
    <w:tmpl w:val="DEA29BB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5A5D"/>
    <w:multiLevelType w:val="hybridMultilevel"/>
    <w:tmpl w:val="C25C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28C"/>
    <w:multiLevelType w:val="hybridMultilevel"/>
    <w:tmpl w:val="520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3A99"/>
    <w:multiLevelType w:val="hybridMultilevel"/>
    <w:tmpl w:val="12BAEE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E1220"/>
    <w:multiLevelType w:val="hybridMultilevel"/>
    <w:tmpl w:val="F6C0E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97E85"/>
    <w:multiLevelType w:val="hybridMultilevel"/>
    <w:tmpl w:val="F97E0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C147B"/>
    <w:multiLevelType w:val="hybridMultilevel"/>
    <w:tmpl w:val="D298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07451"/>
    <w:multiLevelType w:val="hybridMultilevel"/>
    <w:tmpl w:val="BD90B2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13D30"/>
    <w:multiLevelType w:val="hybridMultilevel"/>
    <w:tmpl w:val="0F269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F3116"/>
    <w:multiLevelType w:val="hybridMultilevel"/>
    <w:tmpl w:val="C00E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C7DAB"/>
    <w:multiLevelType w:val="hybridMultilevel"/>
    <w:tmpl w:val="BC08F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A3887"/>
    <w:multiLevelType w:val="hybridMultilevel"/>
    <w:tmpl w:val="C1D0E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73AA5"/>
    <w:multiLevelType w:val="hybridMultilevel"/>
    <w:tmpl w:val="50AA0092"/>
    <w:lvl w:ilvl="0" w:tplc="4F24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A2F42"/>
    <w:multiLevelType w:val="hybridMultilevel"/>
    <w:tmpl w:val="539CF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C71FB"/>
    <w:multiLevelType w:val="hybridMultilevel"/>
    <w:tmpl w:val="F59629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B95112"/>
    <w:multiLevelType w:val="hybridMultilevel"/>
    <w:tmpl w:val="ED12713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5C422947"/>
    <w:multiLevelType w:val="hybridMultilevel"/>
    <w:tmpl w:val="84984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76481"/>
    <w:multiLevelType w:val="hybridMultilevel"/>
    <w:tmpl w:val="4F8C04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332D5"/>
    <w:multiLevelType w:val="hybridMultilevel"/>
    <w:tmpl w:val="10641BF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5902381"/>
    <w:multiLevelType w:val="hybridMultilevel"/>
    <w:tmpl w:val="683A04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375C82"/>
    <w:multiLevelType w:val="hybridMultilevel"/>
    <w:tmpl w:val="3A764C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04221"/>
    <w:multiLevelType w:val="hybridMultilevel"/>
    <w:tmpl w:val="A672CC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90FE2"/>
    <w:multiLevelType w:val="multilevel"/>
    <w:tmpl w:val="21EA506A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4"/>
  </w:num>
  <w:num w:numId="5">
    <w:abstractNumId w:val="18"/>
  </w:num>
  <w:num w:numId="6">
    <w:abstractNumId w:val="2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26"/>
  </w:num>
  <w:num w:numId="14">
    <w:abstractNumId w:val="23"/>
  </w:num>
  <w:num w:numId="15">
    <w:abstractNumId w:val="12"/>
  </w:num>
  <w:num w:numId="16">
    <w:abstractNumId w:val="28"/>
  </w:num>
  <w:num w:numId="17">
    <w:abstractNumId w:val="3"/>
  </w:num>
  <w:num w:numId="18">
    <w:abstractNumId w:val="22"/>
  </w:num>
  <w:num w:numId="19">
    <w:abstractNumId w:val="15"/>
  </w:num>
  <w:num w:numId="20">
    <w:abstractNumId w:val="24"/>
  </w:num>
  <w:num w:numId="21">
    <w:abstractNumId w:val="20"/>
  </w:num>
  <w:num w:numId="22">
    <w:abstractNumId w:val="27"/>
  </w:num>
  <w:num w:numId="23">
    <w:abstractNumId w:val="7"/>
  </w:num>
  <w:num w:numId="24">
    <w:abstractNumId w:val="9"/>
  </w:num>
  <w:num w:numId="25">
    <w:abstractNumId w:val="17"/>
  </w:num>
  <w:num w:numId="26">
    <w:abstractNumId w:val="21"/>
  </w:num>
  <w:num w:numId="27">
    <w:abstractNumId w:val="11"/>
  </w:num>
  <w:num w:numId="28">
    <w:abstractNumId w:val="29"/>
  </w:num>
  <w:num w:numId="29">
    <w:abstractNumId w:val="19"/>
  </w:num>
  <w:num w:numId="30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57805"/>
    <w:rsid w:val="000003FD"/>
    <w:rsid w:val="000060BB"/>
    <w:rsid w:val="00012183"/>
    <w:rsid w:val="000156F3"/>
    <w:rsid w:val="00020251"/>
    <w:rsid w:val="000205B4"/>
    <w:rsid w:val="00023A5A"/>
    <w:rsid w:val="000319FE"/>
    <w:rsid w:val="00031F2E"/>
    <w:rsid w:val="0003233E"/>
    <w:rsid w:val="0003703F"/>
    <w:rsid w:val="000376AE"/>
    <w:rsid w:val="0004057B"/>
    <w:rsid w:val="00040664"/>
    <w:rsid w:val="00044630"/>
    <w:rsid w:val="000465B9"/>
    <w:rsid w:val="00046C56"/>
    <w:rsid w:val="00052572"/>
    <w:rsid w:val="00057B1F"/>
    <w:rsid w:val="000632C6"/>
    <w:rsid w:val="000756C5"/>
    <w:rsid w:val="000807CC"/>
    <w:rsid w:val="00086FBE"/>
    <w:rsid w:val="00091A25"/>
    <w:rsid w:val="000928BD"/>
    <w:rsid w:val="000946E5"/>
    <w:rsid w:val="000A74C4"/>
    <w:rsid w:val="000B6128"/>
    <w:rsid w:val="000C0991"/>
    <w:rsid w:val="000C0AE5"/>
    <w:rsid w:val="000C4AF7"/>
    <w:rsid w:val="000D2A4A"/>
    <w:rsid w:val="000E079B"/>
    <w:rsid w:val="000F1ED1"/>
    <w:rsid w:val="000F2CA7"/>
    <w:rsid w:val="000F3688"/>
    <w:rsid w:val="000F36AB"/>
    <w:rsid w:val="00100F30"/>
    <w:rsid w:val="001042BB"/>
    <w:rsid w:val="00104559"/>
    <w:rsid w:val="00113CFF"/>
    <w:rsid w:val="00114864"/>
    <w:rsid w:val="001216B9"/>
    <w:rsid w:val="001348FB"/>
    <w:rsid w:val="00140179"/>
    <w:rsid w:val="0014274B"/>
    <w:rsid w:val="00144BDA"/>
    <w:rsid w:val="0014513D"/>
    <w:rsid w:val="001455C5"/>
    <w:rsid w:val="00157548"/>
    <w:rsid w:val="0016541A"/>
    <w:rsid w:val="0017063D"/>
    <w:rsid w:val="00173BB6"/>
    <w:rsid w:val="001771EA"/>
    <w:rsid w:val="0018482E"/>
    <w:rsid w:val="001A04BD"/>
    <w:rsid w:val="001A3201"/>
    <w:rsid w:val="001B3B60"/>
    <w:rsid w:val="001B5087"/>
    <w:rsid w:val="001B5477"/>
    <w:rsid w:val="001C3E0A"/>
    <w:rsid w:val="001C6C0C"/>
    <w:rsid w:val="001D1BCF"/>
    <w:rsid w:val="001D4767"/>
    <w:rsid w:val="001E1DCC"/>
    <w:rsid w:val="001E5192"/>
    <w:rsid w:val="001E5F66"/>
    <w:rsid w:val="001F5D14"/>
    <w:rsid w:val="001F7B1F"/>
    <w:rsid w:val="002073AC"/>
    <w:rsid w:val="00210A4E"/>
    <w:rsid w:val="00212AA4"/>
    <w:rsid w:val="00213129"/>
    <w:rsid w:val="00231DD4"/>
    <w:rsid w:val="00236BD0"/>
    <w:rsid w:val="00241771"/>
    <w:rsid w:val="00243A24"/>
    <w:rsid w:val="0024635E"/>
    <w:rsid w:val="00252018"/>
    <w:rsid w:val="002525BB"/>
    <w:rsid w:val="0025611E"/>
    <w:rsid w:val="002647C6"/>
    <w:rsid w:val="00273294"/>
    <w:rsid w:val="00277AE7"/>
    <w:rsid w:val="00280725"/>
    <w:rsid w:val="00282D3D"/>
    <w:rsid w:val="00285E23"/>
    <w:rsid w:val="00286663"/>
    <w:rsid w:val="00293288"/>
    <w:rsid w:val="00293824"/>
    <w:rsid w:val="002A7E1C"/>
    <w:rsid w:val="002B0324"/>
    <w:rsid w:val="002B2475"/>
    <w:rsid w:val="002B3231"/>
    <w:rsid w:val="002B44A9"/>
    <w:rsid w:val="002B67A1"/>
    <w:rsid w:val="002C0F33"/>
    <w:rsid w:val="002D3366"/>
    <w:rsid w:val="002D4B84"/>
    <w:rsid w:val="002D5379"/>
    <w:rsid w:val="002D60BA"/>
    <w:rsid w:val="002E7E5E"/>
    <w:rsid w:val="00307C26"/>
    <w:rsid w:val="00313118"/>
    <w:rsid w:val="00321B9D"/>
    <w:rsid w:val="00332C96"/>
    <w:rsid w:val="00332DB1"/>
    <w:rsid w:val="0033303D"/>
    <w:rsid w:val="00335A7F"/>
    <w:rsid w:val="00336D4C"/>
    <w:rsid w:val="0034489C"/>
    <w:rsid w:val="00345D76"/>
    <w:rsid w:val="00354346"/>
    <w:rsid w:val="0035720D"/>
    <w:rsid w:val="00360586"/>
    <w:rsid w:val="00362261"/>
    <w:rsid w:val="00367FB6"/>
    <w:rsid w:val="00371FE2"/>
    <w:rsid w:val="00372FFB"/>
    <w:rsid w:val="00374A84"/>
    <w:rsid w:val="003801E8"/>
    <w:rsid w:val="003804F5"/>
    <w:rsid w:val="003807EB"/>
    <w:rsid w:val="00382785"/>
    <w:rsid w:val="003922F7"/>
    <w:rsid w:val="003A688F"/>
    <w:rsid w:val="003B136A"/>
    <w:rsid w:val="003B6D81"/>
    <w:rsid w:val="003C17F6"/>
    <w:rsid w:val="003C6328"/>
    <w:rsid w:val="003D53F8"/>
    <w:rsid w:val="003E1518"/>
    <w:rsid w:val="003E498B"/>
    <w:rsid w:val="003F1879"/>
    <w:rsid w:val="003F367A"/>
    <w:rsid w:val="004029F9"/>
    <w:rsid w:val="00415781"/>
    <w:rsid w:val="00415EEA"/>
    <w:rsid w:val="00425DB2"/>
    <w:rsid w:val="0043002A"/>
    <w:rsid w:val="00430FFE"/>
    <w:rsid w:val="004343C2"/>
    <w:rsid w:val="00440580"/>
    <w:rsid w:val="004479A5"/>
    <w:rsid w:val="004557A4"/>
    <w:rsid w:val="00465C0C"/>
    <w:rsid w:val="00466086"/>
    <w:rsid w:val="00467D32"/>
    <w:rsid w:val="004731B6"/>
    <w:rsid w:val="00483002"/>
    <w:rsid w:val="004867DC"/>
    <w:rsid w:val="0049032A"/>
    <w:rsid w:val="0049386A"/>
    <w:rsid w:val="00497038"/>
    <w:rsid w:val="004A4991"/>
    <w:rsid w:val="004B106F"/>
    <w:rsid w:val="004C579D"/>
    <w:rsid w:val="004C775F"/>
    <w:rsid w:val="004D498B"/>
    <w:rsid w:val="004D4C29"/>
    <w:rsid w:val="004E79A7"/>
    <w:rsid w:val="004F09D2"/>
    <w:rsid w:val="004F54BC"/>
    <w:rsid w:val="00501037"/>
    <w:rsid w:val="005027A8"/>
    <w:rsid w:val="00502AFB"/>
    <w:rsid w:val="0050793F"/>
    <w:rsid w:val="005160D1"/>
    <w:rsid w:val="00516ED9"/>
    <w:rsid w:val="00540DCD"/>
    <w:rsid w:val="00551B02"/>
    <w:rsid w:val="00551E4B"/>
    <w:rsid w:val="005524AF"/>
    <w:rsid w:val="00557805"/>
    <w:rsid w:val="005600CB"/>
    <w:rsid w:val="0056063E"/>
    <w:rsid w:val="00567D9C"/>
    <w:rsid w:val="0057009F"/>
    <w:rsid w:val="00574169"/>
    <w:rsid w:val="00585CD4"/>
    <w:rsid w:val="0058777F"/>
    <w:rsid w:val="005929F7"/>
    <w:rsid w:val="00597326"/>
    <w:rsid w:val="005A62E1"/>
    <w:rsid w:val="005B16C4"/>
    <w:rsid w:val="005B1A60"/>
    <w:rsid w:val="005B1E39"/>
    <w:rsid w:val="005B3D30"/>
    <w:rsid w:val="005C4F3B"/>
    <w:rsid w:val="005C595A"/>
    <w:rsid w:val="005D3BF1"/>
    <w:rsid w:val="005D3D37"/>
    <w:rsid w:val="005E3BD5"/>
    <w:rsid w:val="005E3EFC"/>
    <w:rsid w:val="005F66B7"/>
    <w:rsid w:val="0061005E"/>
    <w:rsid w:val="00612CA2"/>
    <w:rsid w:val="00615361"/>
    <w:rsid w:val="00615D45"/>
    <w:rsid w:val="00616428"/>
    <w:rsid w:val="006246F8"/>
    <w:rsid w:val="006251B8"/>
    <w:rsid w:val="006279CE"/>
    <w:rsid w:val="006327C7"/>
    <w:rsid w:val="0063450A"/>
    <w:rsid w:val="00642036"/>
    <w:rsid w:val="00645D69"/>
    <w:rsid w:val="0065441B"/>
    <w:rsid w:val="006569A3"/>
    <w:rsid w:val="00670659"/>
    <w:rsid w:val="00671220"/>
    <w:rsid w:val="0067318E"/>
    <w:rsid w:val="006937EE"/>
    <w:rsid w:val="006949D8"/>
    <w:rsid w:val="00696A55"/>
    <w:rsid w:val="006A458E"/>
    <w:rsid w:val="006B203F"/>
    <w:rsid w:val="006C29D8"/>
    <w:rsid w:val="006C2C54"/>
    <w:rsid w:val="006C38B6"/>
    <w:rsid w:val="006C4B3F"/>
    <w:rsid w:val="006D2EAC"/>
    <w:rsid w:val="006D6907"/>
    <w:rsid w:val="006E1AAF"/>
    <w:rsid w:val="006E3645"/>
    <w:rsid w:val="006E670A"/>
    <w:rsid w:val="006F3350"/>
    <w:rsid w:val="00702D8D"/>
    <w:rsid w:val="00704CF4"/>
    <w:rsid w:val="0070719D"/>
    <w:rsid w:val="00715704"/>
    <w:rsid w:val="0072260F"/>
    <w:rsid w:val="007455A7"/>
    <w:rsid w:val="00751FDF"/>
    <w:rsid w:val="00761A66"/>
    <w:rsid w:val="007673CD"/>
    <w:rsid w:val="007708D4"/>
    <w:rsid w:val="00770B29"/>
    <w:rsid w:val="007730D3"/>
    <w:rsid w:val="00775706"/>
    <w:rsid w:val="0077685E"/>
    <w:rsid w:val="007903AB"/>
    <w:rsid w:val="00793853"/>
    <w:rsid w:val="00794330"/>
    <w:rsid w:val="0079738A"/>
    <w:rsid w:val="007A0D8F"/>
    <w:rsid w:val="007A0F1F"/>
    <w:rsid w:val="007B70F4"/>
    <w:rsid w:val="007B7B99"/>
    <w:rsid w:val="007C26D9"/>
    <w:rsid w:val="007C349F"/>
    <w:rsid w:val="007C3A29"/>
    <w:rsid w:val="007C7F5A"/>
    <w:rsid w:val="007D3744"/>
    <w:rsid w:val="007E09C1"/>
    <w:rsid w:val="007E5814"/>
    <w:rsid w:val="00801FC9"/>
    <w:rsid w:val="00803D45"/>
    <w:rsid w:val="00804A8B"/>
    <w:rsid w:val="00806FEC"/>
    <w:rsid w:val="00821E57"/>
    <w:rsid w:val="008276EE"/>
    <w:rsid w:val="00832849"/>
    <w:rsid w:val="0083337C"/>
    <w:rsid w:val="0083595E"/>
    <w:rsid w:val="00835EED"/>
    <w:rsid w:val="00837919"/>
    <w:rsid w:val="0084081E"/>
    <w:rsid w:val="00840E01"/>
    <w:rsid w:val="008411E0"/>
    <w:rsid w:val="00841E79"/>
    <w:rsid w:val="00841FA9"/>
    <w:rsid w:val="008429EC"/>
    <w:rsid w:val="00842A5D"/>
    <w:rsid w:val="008433F4"/>
    <w:rsid w:val="00846E4B"/>
    <w:rsid w:val="00865A1F"/>
    <w:rsid w:val="008679B0"/>
    <w:rsid w:val="00874267"/>
    <w:rsid w:val="00875E12"/>
    <w:rsid w:val="00891CAF"/>
    <w:rsid w:val="008941A0"/>
    <w:rsid w:val="00894455"/>
    <w:rsid w:val="008A30FF"/>
    <w:rsid w:val="008A6F5F"/>
    <w:rsid w:val="008B34BC"/>
    <w:rsid w:val="008C29E6"/>
    <w:rsid w:val="008C39AC"/>
    <w:rsid w:val="008C46E5"/>
    <w:rsid w:val="008D2AFD"/>
    <w:rsid w:val="008D3A98"/>
    <w:rsid w:val="008D3BDB"/>
    <w:rsid w:val="008D732E"/>
    <w:rsid w:val="008E041B"/>
    <w:rsid w:val="008F079B"/>
    <w:rsid w:val="008F23C3"/>
    <w:rsid w:val="00907517"/>
    <w:rsid w:val="00912B20"/>
    <w:rsid w:val="009135E4"/>
    <w:rsid w:val="0091603C"/>
    <w:rsid w:val="00925AA5"/>
    <w:rsid w:val="00931487"/>
    <w:rsid w:val="0093396A"/>
    <w:rsid w:val="00936C3F"/>
    <w:rsid w:val="00940643"/>
    <w:rsid w:val="0094470F"/>
    <w:rsid w:val="00957458"/>
    <w:rsid w:val="0096463C"/>
    <w:rsid w:val="00965BA4"/>
    <w:rsid w:val="00966C5F"/>
    <w:rsid w:val="00970F51"/>
    <w:rsid w:val="00972BE0"/>
    <w:rsid w:val="00973C4C"/>
    <w:rsid w:val="00976A2A"/>
    <w:rsid w:val="00976C71"/>
    <w:rsid w:val="009836F0"/>
    <w:rsid w:val="00990254"/>
    <w:rsid w:val="009908F9"/>
    <w:rsid w:val="009A45AE"/>
    <w:rsid w:val="009A4993"/>
    <w:rsid w:val="009B5AD4"/>
    <w:rsid w:val="009B69AB"/>
    <w:rsid w:val="009C1094"/>
    <w:rsid w:val="009D01A7"/>
    <w:rsid w:val="009F407F"/>
    <w:rsid w:val="009F5E6F"/>
    <w:rsid w:val="009F6622"/>
    <w:rsid w:val="00A030B9"/>
    <w:rsid w:val="00A03E5D"/>
    <w:rsid w:val="00A123F8"/>
    <w:rsid w:val="00A134DA"/>
    <w:rsid w:val="00A206EF"/>
    <w:rsid w:val="00A233A0"/>
    <w:rsid w:val="00A26FD5"/>
    <w:rsid w:val="00A43224"/>
    <w:rsid w:val="00A5023F"/>
    <w:rsid w:val="00A50D4F"/>
    <w:rsid w:val="00A54100"/>
    <w:rsid w:val="00A544B1"/>
    <w:rsid w:val="00A56974"/>
    <w:rsid w:val="00A57520"/>
    <w:rsid w:val="00A61465"/>
    <w:rsid w:val="00A6194A"/>
    <w:rsid w:val="00A621F8"/>
    <w:rsid w:val="00A639C0"/>
    <w:rsid w:val="00A66B99"/>
    <w:rsid w:val="00A73A0F"/>
    <w:rsid w:val="00A7659C"/>
    <w:rsid w:val="00A806FF"/>
    <w:rsid w:val="00A837DC"/>
    <w:rsid w:val="00A84578"/>
    <w:rsid w:val="00A91B75"/>
    <w:rsid w:val="00A9703C"/>
    <w:rsid w:val="00AB4085"/>
    <w:rsid w:val="00AB4A3F"/>
    <w:rsid w:val="00AB6E1F"/>
    <w:rsid w:val="00AB6E93"/>
    <w:rsid w:val="00AC1DBB"/>
    <w:rsid w:val="00AD116C"/>
    <w:rsid w:val="00AD51AA"/>
    <w:rsid w:val="00AD7901"/>
    <w:rsid w:val="00AE43B4"/>
    <w:rsid w:val="00B03A46"/>
    <w:rsid w:val="00B05CAD"/>
    <w:rsid w:val="00B1179E"/>
    <w:rsid w:val="00B16D49"/>
    <w:rsid w:val="00B20A6E"/>
    <w:rsid w:val="00B21F28"/>
    <w:rsid w:val="00B31799"/>
    <w:rsid w:val="00B32437"/>
    <w:rsid w:val="00B3426C"/>
    <w:rsid w:val="00B36264"/>
    <w:rsid w:val="00B374FD"/>
    <w:rsid w:val="00B526D5"/>
    <w:rsid w:val="00B73A9A"/>
    <w:rsid w:val="00B77142"/>
    <w:rsid w:val="00B83283"/>
    <w:rsid w:val="00B9184E"/>
    <w:rsid w:val="00B93699"/>
    <w:rsid w:val="00BB2F88"/>
    <w:rsid w:val="00BB7B7D"/>
    <w:rsid w:val="00BC0539"/>
    <w:rsid w:val="00BC35DB"/>
    <w:rsid w:val="00BC49FA"/>
    <w:rsid w:val="00BC7D76"/>
    <w:rsid w:val="00BD4468"/>
    <w:rsid w:val="00BE1C99"/>
    <w:rsid w:val="00BF0FFF"/>
    <w:rsid w:val="00BF29AB"/>
    <w:rsid w:val="00C127D6"/>
    <w:rsid w:val="00C2366A"/>
    <w:rsid w:val="00C24D97"/>
    <w:rsid w:val="00C30495"/>
    <w:rsid w:val="00C320BF"/>
    <w:rsid w:val="00C36493"/>
    <w:rsid w:val="00C425CE"/>
    <w:rsid w:val="00C46454"/>
    <w:rsid w:val="00C47E43"/>
    <w:rsid w:val="00C60584"/>
    <w:rsid w:val="00C6127A"/>
    <w:rsid w:val="00C62A60"/>
    <w:rsid w:val="00C71CC2"/>
    <w:rsid w:val="00C7384D"/>
    <w:rsid w:val="00C74580"/>
    <w:rsid w:val="00C7562B"/>
    <w:rsid w:val="00C75D22"/>
    <w:rsid w:val="00C80705"/>
    <w:rsid w:val="00C9372C"/>
    <w:rsid w:val="00CA0F34"/>
    <w:rsid w:val="00CA14A3"/>
    <w:rsid w:val="00CA7895"/>
    <w:rsid w:val="00CD0A54"/>
    <w:rsid w:val="00CF5D8B"/>
    <w:rsid w:val="00D03A65"/>
    <w:rsid w:val="00D12D39"/>
    <w:rsid w:val="00D17882"/>
    <w:rsid w:val="00D25ABB"/>
    <w:rsid w:val="00D25F46"/>
    <w:rsid w:val="00D31559"/>
    <w:rsid w:val="00D32F47"/>
    <w:rsid w:val="00D36FDD"/>
    <w:rsid w:val="00D4098C"/>
    <w:rsid w:val="00D6018E"/>
    <w:rsid w:val="00D62330"/>
    <w:rsid w:val="00D72AE7"/>
    <w:rsid w:val="00D74B69"/>
    <w:rsid w:val="00D82ACD"/>
    <w:rsid w:val="00D87FA6"/>
    <w:rsid w:val="00D90C8A"/>
    <w:rsid w:val="00D94561"/>
    <w:rsid w:val="00D9474C"/>
    <w:rsid w:val="00D967AB"/>
    <w:rsid w:val="00D96AB9"/>
    <w:rsid w:val="00D97512"/>
    <w:rsid w:val="00DA4E27"/>
    <w:rsid w:val="00DB2262"/>
    <w:rsid w:val="00DB3DD8"/>
    <w:rsid w:val="00DB4B87"/>
    <w:rsid w:val="00DC3887"/>
    <w:rsid w:val="00DC69F8"/>
    <w:rsid w:val="00DD70E0"/>
    <w:rsid w:val="00DE32CC"/>
    <w:rsid w:val="00DF3330"/>
    <w:rsid w:val="00DF6D26"/>
    <w:rsid w:val="00E061D3"/>
    <w:rsid w:val="00E13009"/>
    <w:rsid w:val="00E26DB0"/>
    <w:rsid w:val="00E337C2"/>
    <w:rsid w:val="00E34F03"/>
    <w:rsid w:val="00E369D8"/>
    <w:rsid w:val="00E41956"/>
    <w:rsid w:val="00E47398"/>
    <w:rsid w:val="00E572DD"/>
    <w:rsid w:val="00E62D8D"/>
    <w:rsid w:val="00E6375C"/>
    <w:rsid w:val="00E64312"/>
    <w:rsid w:val="00E70781"/>
    <w:rsid w:val="00E74152"/>
    <w:rsid w:val="00E76627"/>
    <w:rsid w:val="00E80AB6"/>
    <w:rsid w:val="00E80E4F"/>
    <w:rsid w:val="00E94F6F"/>
    <w:rsid w:val="00E9664A"/>
    <w:rsid w:val="00EA025C"/>
    <w:rsid w:val="00EA2E81"/>
    <w:rsid w:val="00EA5D9D"/>
    <w:rsid w:val="00EB0370"/>
    <w:rsid w:val="00EB344D"/>
    <w:rsid w:val="00EC4AD0"/>
    <w:rsid w:val="00EC7643"/>
    <w:rsid w:val="00ED0E77"/>
    <w:rsid w:val="00ED1894"/>
    <w:rsid w:val="00ED76D7"/>
    <w:rsid w:val="00EE0500"/>
    <w:rsid w:val="00EE0730"/>
    <w:rsid w:val="00EE0DE6"/>
    <w:rsid w:val="00EE0FE1"/>
    <w:rsid w:val="00EE7B9E"/>
    <w:rsid w:val="00F069A2"/>
    <w:rsid w:val="00F13A70"/>
    <w:rsid w:val="00F1679E"/>
    <w:rsid w:val="00F16E76"/>
    <w:rsid w:val="00F217EA"/>
    <w:rsid w:val="00F35597"/>
    <w:rsid w:val="00F458FE"/>
    <w:rsid w:val="00F474C7"/>
    <w:rsid w:val="00F47F8B"/>
    <w:rsid w:val="00F5151D"/>
    <w:rsid w:val="00F57DA5"/>
    <w:rsid w:val="00F60783"/>
    <w:rsid w:val="00F65848"/>
    <w:rsid w:val="00F6691B"/>
    <w:rsid w:val="00F71B5C"/>
    <w:rsid w:val="00F737E6"/>
    <w:rsid w:val="00F73C17"/>
    <w:rsid w:val="00F81614"/>
    <w:rsid w:val="00F900AD"/>
    <w:rsid w:val="00F97F4A"/>
    <w:rsid w:val="00FA090E"/>
    <w:rsid w:val="00FA180C"/>
    <w:rsid w:val="00FA1867"/>
    <w:rsid w:val="00FA5A92"/>
    <w:rsid w:val="00FB0F88"/>
    <w:rsid w:val="00FB1170"/>
    <w:rsid w:val="00FB12FC"/>
    <w:rsid w:val="00FB46B7"/>
    <w:rsid w:val="00FB5D63"/>
    <w:rsid w:val="00FB6958"/>
    <w:rsid w:val="00FC0DC5"/>
    <w:rsid w:val="00FD271E"/>
    <w:rsid w:val="00FE2EB5"/>
    <w:rsid w:val="00FE3BD9"/>
    <w:rsid w:val="00FE3D22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882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17882"/>
    <w:pPr>
      <w:keepNext/>
      <w:jc w:val="right"/>
      <w:outlineLvl w:val="1"/>
    </w:pPr>
    <w:rPr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7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7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8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178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7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178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80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5578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05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634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62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AD51A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78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D17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D17882"/>
    <w:pPr>
      <w:widowControl w:val="0"/>
      <w:spacing w:after="253"/>
    </w:pPr>
    <w:rPr>
      <w:rFonts w:ascii="Calibri" w:eastAsiaTheme="minorEastAsia" w:hAnsi="Calibri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D17882"/>
    <w:pPr>
      <w:widowControl w:val="0"/>
      <w:spacing w:after="188"/>
    </w:pPr>
    <w:rPr>
      <w:rFonts w:ascii="Calibri" w:eastAsiaTheme="minorEastAsia"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17882"/>
    <w:pPr>
      <w:widowControl w:val="0"/>
      <w:spacing w:line="311" w:lineRule="atLeast"/>
    </w:pPr>
    <w:rPr>
      <w:rFonts w:ascii="Calibri" w:eastAsiaTheme="minorEastAsia" w:hAnsi="Calibri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D17882"/>
    <w:pPr>
      <w:widowControl w:val="0"/>
      <w:spacing w:after="748"/>
    </w:pPr>
    <w:rPr>
      <w:rFonts w:ascii="Calibri" w:eastAsiaTheme="minorEastAsia" w:hAnsi="Calibri" w:cs="Times New Roman"/>
      <w:color w:val="auto"/>
    </w:rPr>
  </w:style>
  <w:style w:type="table" w:customStyle="1" w:styleId="LightList-Accent11">
    <w:name w:val="Light List - Accent 11"/>
    <w:basedOn w:val="TableNormal"/>
    <w:uiPriority w:val="61"/>
    <w:rsid w:val="00D17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D17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D17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M30">
    <w:name w:val="CM30"/>
    <w:basedOn w:val="Default"/>
    <w:next w:val="Default"/>
    <w:uiPriority w:val="99"/>
    <w:rsid w:val="00D17882"/>
    <w:pPr>
      <w:widowControl w:val="0"/>
      <w:spacing w:after="480"/>
    </w:pPr>
    <w:rPr>
      <w:rFonts w:ascii="Calibri" w:eastAsiaTheme="minorEastAsia" w:hAnsi="Calibri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D17882"/>
    <w:pPr>
      <w:widowControl w:val="0"/>
      <w:spacing w:after="130"/>
    </w:pPr>
    <w:rPr>
      <w:rFonts w:ascii="Calibri" w:eastAsiaTheme="minorEastAsia" w:hAnsi="Calibri" w:cs="Times New Roman"/>
      <w:color w:val="auto"/>
    </w:rPr>
  </w:style>
  <w:style w:type="table" w:customStyle="1" w:styleId="LightShading-Accent11">
    <w:name w:val="Light Shading - Accent 11"/>
    <w:basedOn w:val="TableNormal"/>
    <w:uiPriority w:val="60"/>
    <w:rsid w:val="00D178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2C0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link w:val="ListParagraph"/>
    <w:uiPriority w:val="34"/>
    <w:locked/>
    <w:rsid w:val="0096463C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PlainTable1">
    <w:name w:val="Plain Table 1"/>
    <w:basedOn w:val="TableNormal"/>
    <w:uiPriority w:val="41"/>
    <w:rsid w:val="007C26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76C7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41771"/>
    <w:pPr>
      <w:tabs>
        <w:tab w:val="right" w:leader="dot" w:pos="9264"/>
      </w:tabs>
      <w:spacing w:before="40" w:after="120"/>
    </w:pPr>
  </w:style>
  <w:style w:type="paragraph" w:styleId="NormalWeb">
    <w:name w:val="Normal (Web)"/>
    <w:basedOn w:val="Normal"/>
    <w:uiPriority w:val="99"/>
    <w:unhideWhenUsed/>
    <w:rsid w:val="000319FE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319FE"/>
    <w:rPr>
      <w:b/>
      <w:bCs/>
    </w:rPr>
  </w:style>
  <w:style w:type="table" w:styleId="MediumGrid3-Accent5">
    <w:name w:val="Medium Grid 3 Accent 5"/>
    <w:basedOn w:val="TableNormal"/>
    <w:uiPriority w:val="69"/>
    <w:rsid w:val="00F65848"/>
    <w:pPr>
      <w:spacing w:after="0" w:line="240" w:lineRule="auto"/>
    </w:pPr>
    <w:rPr>
      <w:rFonts w:eastAsia="MS Minch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fontstyle01">
    <w:name w:val="fontstyle01"/>
    <w:basedOn w:val="DefaultParagraphFont"/>
    <w:rsid w:val="00091A25"/>
    <w:rPr>
      <w:rFonts w:ascii="ArialMT" w:hAnsi="ArialMT" w:hint="default"/>
      <w:b w:val="0"/>
      <w:bCs w:val="0"/>
      <w:i w:val="0"/>
      <w:iCs w:val="0"/>
      <w:color w:val="8560A0"/>
      <w:sz w:val="24"/>
      <w:szCs w:val="24"/>
    </w:rPr>
  </w:style>
  <w:style w:type="character" w:customStyle="1" w:styleId="fontstyle21">
    <w:name w:val="fontstyle21"/>
    <w:basedOn w:val="DefaultParagraphFont"/>
    <w:rsid w:val="00091A25"/>
    <w:rPr>
      <w:rFonts w:ascii="Arial-ItalicMT" w:hAnsi="Arial-ItalicMT" w:hint="default"/>
      <w:b w:val="0"/>
      <w:bCs w:val="0"/>
      <w:i/>
      <w:iCs/>
      <w:color w:val="8560A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0346-48E2-4EA8-A65B-93A03D59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Bashkia Kamez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Bujari</dc:creator>
  <cp:lastModifiedBy>User</cp:lastModifiedBy>
  <cp:revision>2</cp:revision>
  <cp:lastPrinted>2019-11-07T15:22:00Z</cp:lastPrinted>
  <dcterms:created xsi:type="dcterms:W3CDTF">2019-11-18T10:06:00Z</dcterms:created>
  <dcterms:modified xsi:type="dcterms:W3CDTF">2019-11-18T10:06:00Z</dcterms:modified>
</cp:coreProperties>
</file>